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AA3" w:rsidRPr="002F6F8E" w:rsidRDefault="001A44F1" w:rsidP="002F6F8E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ANEXO 1:</w:t>
      </w:r>
      <w:r w:rsidR="00050AA3" w:rsidRPr="002F6F8E">
        <w:rPr>
          <w:rFonts w:ascii="Arial" w:hAnsi="Arial" w:cs="Arial"/>
          <w:b/>
          <w:sz w:val="16"/>
          <w:szCs w:val="16"/>
        </w:rPr>
        <w:t xml:space="preserve"> CONTENIDO MÍNIMO DEL REGLAMENTO PARA FONDOS DE INVERSIÓN COLECTIVA ABIERTOS</w:t>
      </w:r>
    </w:p>
    <w:p w:rsidR="00050AA3" w:rsidRPr="002F6F8E" w:rsidRDefault="00050AA3" w:rsidP="002F6F8E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5012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5"/>
        <w:gridCol w:w="5387"/>
      </w:tblGrid>
      <w:tr w:rsidR="006B7724" w:rsidRPr="002F6F8E" w:rsidTr="001C532C">
        <w:trPr>
          <w:cantSplit/>
          <w:trHeight w:val="585"/>
          <w:jc w:val="center"/>
        </w:trPr>
        <w:tc>
          <w:tcPr>
            <w:tcW w:w="20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>Nombre del Capítulo</w:t>
            </w:r>
          </w:p>
        </w:tc>
        <w:tc>
          <w:tcPr>
            <w:tcW w:w="2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>Tipo de Información</w:t>
            </w:r>
          </w:p>
        </w:tc>
      </w:tr>
      <w:tr w:rsidR="006B7724" w:rsidRPr="002F6F8E" w:rsidTr="001C532C">
        <w:trPr>
          <w:cantSplit/>
          <w:trHeight w:val="263"/>
          <w:jc w:val="center"/>
        </w:trPr>
        <w:tc>
          <w:tcPr>
            <w:tcW w:w="200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 xml:space="preserve">Capítulo I. Aspectos generales del FIC o familia de fondos de inversión colectiva </w:t>
            </w:r>
          </w:p>
        </w:tc>
        <w:tc>
          <w:tcPr>
            <w:tcW w:w="2992" w:type="pc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1.1 Sociedad administradora</w:t>
            </w:r>
          </w:p>
        </w:tc>
      </w:tr>
      <w:tr w:rsidR="006B7724" w:rsidRPr="002F6F8E" w:rsidTr="001C532C">
        <w:trPr>
          <w:cantSplit/>
          <w:trHeight w:val="255"/>
          <w:jc w:val="center"/>
        </w:trPr>
        <w:tc>
          <w:tcPr>
            <w:tcW w:w="200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1.2 FIC o familia de fondos de inversión colectiva</w:t>
            </w:r>
          </w:p>
        </w:tc>
      </w:tr>
      <w:tr w:rsidR="006B7724" w:rsidRPr="002F6F8E" w:rsidTr="001C532C">
        <w:trPr>
          <w:cantSplit/>
          <w:trHeight w:val="255"/>
          <w:jc w:val="center"/>
        </w:trPr>
        <w:tc>
          <w:tcPr>
            <w:tcW w:w="200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1.3 Duración del FIC</w:t>
            </w:r>
          </w:p>
        </w:tc>
      </w:tr>
      <w:tr w:rsidR="006B7724" w:rsidRPr="002F6F8E" w:rsidTr="001C532C">
        <w:trPr>
          <w:cantSplit/>
          <w:trHeight w:val="255"/>
          <w:jc w:val="center"/>
        </w:trPr>
        <w:tc>
          <w:tcPr>
            <w:tcW w:w="200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1.4 Sede</w:t>
            </w:r>
          </w:p>
        </w:tc>
      </w:tr>
      <w:tr w:rsidR="006B7724" w:rsidRPr="002F6F8E" w:rsidTr="001C532C">
        <w:trPr>
          <w:cantSplit/>
          <w:trHeight w:val="255"/>
          <w:jc w:val="center"/>
        </w:trPr>
        <w:tc>
          <w:tcPr>
            <w:tcW w:w="200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1.5 Duración de la inversión y procedimiento para la restitución de los aportes por vencimiento del término de duración</w:t>
            </w:r>
          </w:p>
        </w:tc>
      </w:tr>
      <w:tr w:rsidR="006B7724" w:rsidRPr="002F6F8E" w:rsidTr="001C532C">
        <w:trPr>
          <w:cantSplit/>
          <w:trHeight w:val="255"/>
          <w:jc w:val="center"/>
        </w:trPr>
        <w:tc>
          <w:tcPr>
            <w:tcW w:w="200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1.6 Segregación patrimonial</w:t>
            </w:r>
          </w:p>
        </w:tc>
      </w:tr>
      <w:tr w:rsidR="006B7724" w:rsidRPr="002F6F8E" w:rsidTr="001C532C">
        <w:trPr>
          <w:cantSplit/>
          <w:trHeight w:val="255"/>
          <w:jc w:val="center"/>
        </w:trPr>
        <w:tc>
          <w:tcPr>
            <w:tcW w:w="200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1.7 Coberturas de riesgos</w:t>
            </w:r>
          </w:p>
        </w:tc>
      </w:tr>
      <w:tr w:rsidR="006B7724" w:rsidRPr="002F6F8E" w:rsidTr="001C532C">
        <w:trPr>
          <w:cantSplit/>
          <w:trHeight w:val="252"/>
          <w:jc w:val="center"/>
        </w:trPr>
        <w:tc>
          <w:tcPr>
            <w:tcW w:w="200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1.8 Mecanismos de información</w:t>
            </w:r>
          </w:p>
        </w:tc>
      </w:tr>
      <w:tr w:rsidR="006B7724" w:rsidRPr="002F6F8E" w:rsidTr="001C532C">
        <w:trPr>
          <w:cantSplit/>
          <w:trHeight w:val="251"/>
          <w:jc w:val="center"/>
        </w:trPr>
        <w:tc>
          <w:tcPr>
            <w:tcW w:w="200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1.9 Monto máximo de recursos administrados</w:t>
            </w:r>
          </w:p>
        </w:tc>
      </w:tr>
      <w:tr w:rsidR="006B7724" w:rsidRPr="002F6F8E" w:rsidTr="001C532C">
        <w:trPr>
          <w:cantSplit/>
          <w:trHeight w:val="255"/>
          <w:jc w:val="center"/>
        </w:trPr>
        <w:tc>
          <w:tcPr>
            <w:tcW w:w="200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1.10 Monto mínimo de participaciones</w:t>
            </w:r>
          </w:p>
        </w:tc>
      </w:tr>
      <w:tr w:rsidR="006B7724" w:rsidRPr="002F6F8E" w:rsidTr="001C532C">
        <w:trPr>
          <w:cantSplit/>
          <w:trHeight w:val="279"/>
          <w:jc w:val="center"/>
        </w:trPr>
        <w:tc>
          <w:tcPr>
            <w:tcW w:w="200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 xml:space="preserve">Capítulo II. Política de inversión del FIC o la familia de fondos de inversión colectiva </w:t>
            </w:r>
          </w:p>
        </w:tc>
        <w:tc>
          <w:tcPr>
            <w:tcW w:w="2992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2.1 Tipo de FIC y activos aceptables para invertir</w:t>
            </w:r>
          </w:p>
        </w:tc>
      </w:tr>
      <w:tr w:rsidR="006B7724" w:rsidRPr="002F6F8E" w:rsidTr="001C532C">
        <w:trPr>
          <w:cantSplit/>
          <w:trHeight w:val="271"/>
          <w:jc w:val="center"/>
        </w:trPr>
        <w:tc>
          <w:tcPr>
            <w:tcW w:w="200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2.2 Límites a la inversión</w:t>
            </w:r>
          </w:p>
        </w:tc>
      </w:tr>
      <w:tr w:rsidR="006B7724" w:rsidRPr="002F6F8E" w:rsidTr="001C532C">
        <w:trPr>
          <w:cantSplit/>
          <w:trHeight w:val="271"/>
          <w:jc w:val="center"/>
        </w:trPr>
        <w:tc>
          <w:tcPr>
            <w:tcW w:w="200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2.3 Liquidez del FIC</w:t>
            </w:r>
          </w:p>
        </w:tc>
      </w:tr>
      <w:tr w:rsidR="006B7724" w:rsidRPr="002F6F8E" w:rsidTr="001C532C">
        <w:trPr>
          <w:cantSplit/>
          <w:trHeight w:val="271"/>
          <w:jc w:val="center"/>
        </w:trPr>
        <w:tc>
          <w:tcPr>
            <w:tcW w:w="200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 xml:space="preserve">2.3.1 Reglas y límites para las operaciones de reporto, simultáneas y </w:t>
            </w:r>
            <w:proofErr w:type="spellStart"/>
            <w:r w:rsidRPr="002F6F8E">
              <w:rPr>
                <w:rFonts w:ascii="Arial" w:hAnsi="Arial" w:cs="Arial"/>
                <w:sz w:val="16"/>
                <w:szCs w:val="16"/>
              </w:rPr>
              <w:t>TTVs</w:t>
            </w:r>
            <w:proofErr w:type="spellEnd"/>
          </w:p>
        </w:tc>
      </w:tr>
      <w:tr w:rsidR="006B7724" w:rsidRPr="002F6F8E" w:rsidTr="001C532C">
        <w:trPr>
          <w:cantSplit/>
          <w:trHeight w:val="271"/>
          <w:jc w:val="center"/>
        </w:trPr>
        <w:tc>
          <w:tcPr>
            <w:tcW w:w="200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2.3.2 Reglas y límites para las operaciones apalancadas</w:t>
            </w:r>
            <w:r w:rsidR="00E76FED" w:rsidRPr="002F6F8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B7724" w:rsidRPr="002F6F8E" w:rsidTr="001C532C">
        <w:trPr>
          <w:cantSplit/>
          <w:trHeight w:val="271"/>
          <w:jc w:val="center"/>
        </w:trPr>
        <w:tc>
          <w:tcPr>
            <w:tcW w:w="200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50AA3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2.3.3 Reglas y límites para los depósitos de recursos líquidos</w:t>
            </w:r>
          </w:p>
          <w:p w:rsidR="00905668" w:rsidRPr="002F6F8E" w:rsidRDefault="00905668" w:rsidP="002F6F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2.3.4 </w:t>
            </w:r>
            <w:r w:rsidRPr="000E2EA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05668">
              <w:rPr>
                <w:rFonts w:ascii="Arial" w:hAnsi="Arial" w:cs="Arial"/>
                <w:sz w:val="16"/>
                <w:szCs w:val="16"/>
              </w:rPr>
              <w:t>Reglas y límites para las operaciones en instrumentos derivados</w:t>
            </w:r>
          </w:p>
        </w:tc>
      </w:tr>
      <w:tr w:rsidR="006B7724" w:rsidRPr="002F6F8E" w:rsidTr="001C532C">
        <w:trPr>
          <w:cantSplit/>
          <w:trHeight w:val="271"/>
          <w:jc w:val="center"/>
        </w:trPr>
        <w:tc>
          <w:tcPr>
            <w:tcW w:w="200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2.4 Operaciones de cobertura (si están previstas)</w:t>
            </w:r>
          </w:p>
        </w:tc>
      </w:tr>
      <w:tr w:rsidR="006B7724" w:rsidRPr="002F6F8E" w:rsidTr="001C532C">
        <w:trPr>
          <w:cantSplit/>
          <w:trHeight w:val="271"/>
          <w:jc w:val="center"/>
        </w:trPr>
        <w:tc>
          <w:tcPr>
            <w:tcW w:w="200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2.5 Riesgos del FIC</w:t>
            </w:r>
          </w:p>
        </w:tc>
      </w:tr>
      <w:tr w:rsidR="006B7724" w:rsidRPr="002F6F8E" w:rsidTr="001C532C">
        <w:trPr>
          <w:cantSplit/>
          <w:trHeight w:val="271"/>
          <w:jc w:val="center"/>
        </w:trPr>
        <w:tc>
          <w:tcPr>
            <w:tcW w:w="200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2.5.1 Factores de riesgo</w:t>
            </w:r>
          </w:p>
        </w:tc>
      </w:tr>
      <w:tr w:rsidR="006B7724" w:rsidRPr="002F6F8E" w:rsidTr="001C532C">
        <w:trPr>
          <w:cantSplit/>
          <w:trHeight w:val="271"/>
          <w:jc w:val="center"/>
        </w:trPr>
        <w:tc>
          <w:tcPr>
            <w:tcW w:w="200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2.5.2 Perfil de riesgo</w:t>
            </w:r>
          </w:p>
        </w:tc>
      </w:tr>
      <w:tr w:rsidR="006B7724" w:rsidRPr="002F6F8E" w:rsidTr="001C532C">
        <w:trPr>
          <w:cantSplit/>
          <w:trHeight w:val="271"/>
          <w:jc w:val="center"/>
        </w:trPr>
        <w:tc>
          <w:tcPr>
            <w:tcW w:w="200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 xml:space="preserve">2.5.3 Administración </w:t>
            </w:r>
            <w:r w:rsidR="00F31D09" w:rsidRPr="002F6F8E">
              <w:rPr>
                <w:rFonts w:ascii="Arial" w:hAnsi="Arial" w:cs="Arial"/>
                <w:sz w:val="16"/>
                <w:szCs w:val="16"/>
              </w:rPr>
              <w:t>de riesgos (crédito, liquidez, operativo, etc.)</w:t>
            </w:r>
          </w:p>
        </w:tc>
      </w:tr>
      <w:tr w:rsidR="006B7724" w:rsidRPr="002F6F8E" w:rsidTr="001C532C">
        <w:trPr>
          <w:cantSplit/>
          <w:trHeight w:val="368"/>
          <w:jc w:val="center"/>
        </w:trPr>
        <w:tc>
          <w:tcPr>
            <w:tcW w:w="2008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 xml:space="preserve">Capítulo III. Organismos de administración, gestión y control del FIC 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3.1 Órganos de administración y gestión</w:t>
            </w:r>
          </w:p>
        </w:tc>
      </w:tr>
      <w:tr w:rsidR="006B7724" w:rsidRPr="002F6F8E" w:rsidTr="001C532C">
        <w:trPr>
          <w:cantSplit/>
          <w:trHeight w:val="368"/>
          <w:jc w:val="center"/>
        </w:trPr>
        <w:tc>
          <w:tcPr>
            <w:tcW w:w="200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3.1.1 Responsabilidad de la sociedad administradora</w:t>
            </w:r>
          </w:p>
        </w:tc>
      </w:tr>
      <w:tr w:rsidR="006B7724" w:rsidRPr="002F6F8E" w:rsidTr="001C532C">
        <w:trPr>
          <w:cantSplit/>
          <w:trHeight w:val="368"/>
          <w:jc w:val="center"/>
        </w:trPr>
        <w:tc>
          <w:tcPr>
            <w:tcW w:w="200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3.1.2 Gerente y sus calidades</w:t>
            </w:r>
          </w:p>
        </w:tc>
      </w:tr>
      <w:tr w:rsidR="006B7724" w:rsidRPr="002F6F8E" w:rsidTr="001C532C">
        <w:trPr>
          <w:cantSplit/>
          <w:trHeight w:val="368"/>
          <w:jc w:val="center"/>
        </w:trPr>
        <w:tc>
          <w:tcPr>
            <w:tcW w:w="200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3.1.3. Criterios de selección del gestor externo y procedimiento para su escogencia</w:t>
            </w:r>
          </w:p>
        </w:tc>
      </w:tr>
      <w:tr w:rsidR="006B7724" w:rsidRPr="002F6F8E" w:rsidTr="001C532C">
        <w:trPr>
          <w:cantSplit/>
          <w:trHeight w:val="368"/>
          <w:jc w:val="center"/>
        </w:trPr>
        <w:tc>
          <w:tcPr>
            <w:tcW w:w="200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3.1.4. Requisitos y criterios a tenerse en cuenta para escogencia de gestor extranjero</w:t>
            </w:r>
          </w:p>
        </w:tc>
      </w:tr>
      <w:tr w:rsidR="006B7724" w:rsidRPr="002F6F8E" w:rsidTr="001C532C">
        <w:trPr>
          <w:cantSplit/>
          <w:trHeight w:val="368"/>
          <w:jc w:val="center"/>
        </w:trPr>
        <w:tc>
          <w:tcPr>
            <w:tcW w:w="200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3.2 Órganos de asesoría</w:t>
            </w:r>
          </w:p>
        </w:tc>
      </w:tr>
      <w:tr w:rsidR="006B7724" w:rsidRPr="002F6F8E" w:rsidTr="001C532C">
        <w:trPr>
          <w:cantSplit/>
          <w:trHeight w:val="368"/>
          <w:jc w:val="center"/>
        </w:trPr>
        <w:tc>
          <w:tcPr>
            <w:tcW w:w="200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3.2.1 Comité de inversiones</w:t>
            </w:r>
          </w:p>
        </w:tc>
      </w:tr>
      <w:tr w:rsidR="006B7724" w:rsidRPr="002F6F8E" w:rsidTr="001C532C">
        <w:trPr>
          <w:cantSplit/>
          <w:trHeight w:val="368"/>
          <w:jc w:val="center"/>
        </w:trPr>
        <w:tc>
          <w:tcPr>
            <w:tcW w:w="200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3.2.2 Constitución</w:t>
            </w:r>
          </w:p>
        </w:tc>
      </w:tr>
      <w:tr w:rsidR="006B7724" w:rsidRPr="002F6F8E" w:rsidTr="001C532C">
        <w:trPr>
          <w:cantSplit/>
          <w:trHeight w:val="368"/>
          <w:jc w:val="center"/>
        </w:trPr>
        <w:tc>
          <w:tcPr>
            <w:tcW w:w="200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3.2.3 Reuniones</w:t>
            </w:r>
          </w:p>
        </w:tc>
      </w:tr>
      <w:tr w:rsidR="006B7724" w:rsidRPr="002F6F8E" w:rsidTr="001C532C">
        <w:trPr>
          <w:cantSplit/>
          <w:trHeight w:val="368"/>
          <w:jc w:val="center"/>
        </w:trPr>
        <w:tc>
          <w:tcPr>
            <w:tcW w:w="200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3.2.4 Funciones</w:t>
            </w:r>
          </w:p>
        </w:tc>
      </w:tr>
      <w:tr w:rsidR="006B7724" w:rsidRPr="002F6F8E" w:rsidTr="001C532C">
        <w:trPr>
          <w:cantSplit/>
          <w:trHeight w:val="368"/>
          <w:jc w:val="center"/>
        </w:trPr>
        <w:tc>
          <w:tcPr>
            <w:tcW w:w="200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3.3 Revisor fiscal</w:t>
            </w:r>
          </w:p>
        </w:tc>
      </w:tr>
      <w:tr w:rsidR="006B7724" w:rsidRPr="002F6F8E" w:rsidTr="001C532C">
        <w:trPr>
          <w:cantSplit/>
          <w:trHeight w:val="368"/>
          <w:jc w:val="center"/>
        </w:trPr>
        <w:tc>
          <w:tcPr>
            <w:tcW w:w="2008" w:type="pct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3.4 Canales de distribución</w:t>
            </w:r>
            <w:r w:rsidR="00F31D09" w:rsidRPr="002F6F8E">
              <w:rPr>
                <w:rFonts w:ascii="Arial" w:hAnsi="Arial" w:cs="Arial"/>
                <w:sz w:val="16"/>
                <w:szCs w:val="16"/>
              </w:rPr>
              <w:t xml:space="preserve"> y reglas aplicables en presencia de cuentas ómnibus (según aplique)</w:t>
            </w:r>
          </w:p>
        </w:tc>
      </w:tr>
      <w:tr w:rsidR="006B7724" w:rsidRPr="002F6F8E" w:rsidTr="001C532C">
        <w:trPr>
          <w:cantSplit/>
          <w:trHeight w:val="255"/>
          <w:jc w:val="center"/>
        </w:trPr>
        <w:tc>
          <w:tcPr>
            <w:tcW w:w="2008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>Capítulo IV. Constitución y redención de participaciones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4.1 Vinculación y clases de participaciones</w:t>
            </w:r>
          </w:p>
        </w:tc>
      </w:tr>
      <w:tr w:rsidR="006B7724" w:rsidRPr="002F6F8E" w:rsidTr="001C532C">
        <w:trPr>
          <w:cantSplit/>
          <w:trHeight w:val="255"/>
          <w:jc w:val="center"/>
        </w:trPr>
        <w:tc>
          <w:tcPr>
            <w:tcW w:w="2008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4.2 Número mínimo de inversionistas</w:t>
            </w:r>
          </w:p>
        </w:tc>
      </w:tr>
      <w:tr w:rsidR="006B7724" w:rsidRPr="002F6F8E" w:rsidTr="001C532C">
        <w:trPr>
          <w:cantSplit/>
          <w:trHeight w:val="255"/>
          <w:jc w:val="center"/>
        </w:trPr>
        <w:tc>
          <w:tcPr>
            <w:tcW w:w="2008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4.3 Límites a la participación</w:t>
            </w:r>
          </w:p>
        </w:tc>
      </w:tr>
      <w:tr w:rsidR="006B7724" w:rsidRPr="002F6F8E" w:rsidTr="001C532C">
        <w:trPr>
          <w:cantSplit/>
          <w:trHeight w:val="255"/>
          <w:jc w:val="center"/>
        </w:trPr>
        <w:tc>
          <w:tcPr>
            <w:tcW w:w="2008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 xml:space="preserve">4.4 Representación de las participaciones </w:t>
            </w:r>
          </w:p>
        </w:tc>
      </w:tr>
      <w:tr w:rsidR="006B7724" w:rsidRPr="002F6F8E" w:rsidTr="001C532C">
        <w:trPr>
          <w:cantSplit/>
          <w:trHeight w:val="255"/>
          <w:jc w:val="center"/>
        </w:trPr>
        <w:tc>
          <w:tcPr>
            <w:tcW w:w="2008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 xml:space="preserve">4.5 Redención de participaciones </w:t>
            </w:r>
          </w:p>
        </w:tc>
      </w:tr>
      <w:tr w:rsidR="006B7724" w:rsidRPr="002F6F8E" w:rsidTr="001C532C">
        <w:trPr>
          <w:cantSplit/>
          <w:trHeight w:val="255"/>
          <w:jc w:val="center"/>
        </w:trPr>
        <w:tc>
          <w:tcPr>
            <w:tcW w:w="2008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4.6 Suspensión de las redenciones junta directiva y asamblea de inversionistas</w:t>
            </w:r>
          </w:p>
        </w:tc>
      </w:tr>
      <w:tr w:rsidR="006B7724" w:rsidRPr="002F6F8E" w:rsidTr="001C532C">
        <w:trPr>
          <w:cantSplit/>
          <w:trHeight w:val="255"/>
          <w:jc w:val="center"/>
        </w:trPr>
        <w:tc>
          <w:tcPr>
            <w:tcW w:w="20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>Capítulo V. Valoración del FIC y de las participaciones</w:t>
            </w:r>
          </w:p>
        </w:tc>
        <w:tc>
          <w:tcPr>
            <w:tcW w:w="299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5.1 Valor inicial de la unidad</w:t>
            </w:r>
          </w:p>
        </w:tc>
      </w:tr>
      <w:tr w:rsidR="006B7724" w:rsidRPr="002F6F8E" w:rsidTr="001C532C">
        <w:trPr>
          <w:cantSplit/>
          <w:trHeight w:val="255"/>
          <w:jc w:val="center"/>
        </w:trPr>
        <w:tc>
          <w:tcPr>
            <w:tcW w:w="20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5.2 Valor del FIC y de las participaciones</w:t>
            </w:r>
          </w:p>
        </w:tc>
      </w:tr>
      <w:tr w:rsidR="006B7724" w:rsidRPr="002F6F8E" w:rsidTr="001C532C">
        <w:trPr>
          <w:cantSplit/>
          <w:trHeight w:val="255"/>
          <w:jc w:val="center"/>
        </w:trPr>
        <w:tc>
          <w:tcPr>
            <w:tcW w:w="20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5.3 Valor de la unidad</w:t>
            </w:r>
          </w:p>
        </w:tc>
      </w:tr>
      <w:tr w:rsidR="006B7724" w:rsidRPr="002F6F8E" w:rsidTr="001C532C">
        <w:trPr>
          <w:cantSplit/>
          <w:trHeight w:val="270"/>
          <w:jc w:val="center"/>
        </w:trPr>
        <w:tc>
          <w:tcPr>
            <w:tcW w:w="200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5.4 Periodicidad de la valoración</w:t>
            </w:r>
          </w:p>
        </w:tc>
      </w:tr>
      <w:tr w:rsidR="006B7724" w:rsidRPr="002F6F8E" w:rsidTr="001C532C">
        <w:trPr>
          <w:cantSplit/>
          <w:trHeight w:val="265"/>
          <w:jc w:val="center"/>
        </w:trPr>
        <w:tc>
          <w:tcPr>
            <w:tcW w:w="200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 xml:space="preserve">Capítulo VI. Gastos a cargo del FIC </w:t>
            </w:r>
          </w:p>
        </w:tc>
        <w:tc>
          <w:tcPr>
            <w:tcW w:w="2992" w:type="pc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6.1 Gastos</w:t>
            </w:r>
          </w:p>
        </w:tc>
      </w:tr>
      <w:tr w:rsidR="006B7724" w:rsidRPr="002F6F8E" w:rsidTr="001C532C">
        <w:trPr>
          <w:cantSplit/>
          <w:trHeight w:val="265"/>
          <w:jc w:val="center"/>
        </w:trPr>
        <w:tc>
          <w:tcPr>
            <w:tcW w:w="200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6.2 Comisión por administración</w:t>
            </w:r>
          </w:p>
        </w:tc>
      </w:tr>
      <w:tr w:rsidR="006B7724" w:rsidRPr="002F6F8E" w:rsidTr="001C532C">
        <w:trPr>
          <w:cantSplit/>
          <w:trHeight w:val="265"/>
          <w:jc w:val="center"/>
        </w:trPr>
        <w:tc>
          <w:tcPr>
            <w:tcW w:w="200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6.3 Comisión por gestión externa (si la hay)</w:t>
            </w:r>
          </w:p>
        </w:tc>
      </w:tr>
      <w:tr w:rsidR="006B7724" w:rsidRPr="002F6F8E" w:rsidTr="007549B0">
        <w:trPr>
          <w:cantSplit/>
          <w:trHeight w:val="265"/>
          <w:jc w:val="center"/>
        </w:trPr>
        <w:tc>
          <w:tcPr>
            <w:tcW w:w="200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6.4 Criterios para la selección y remuneración de los intermediarios</w:t>
            </w:r>
          </w:p>
        </w:tc>
      </w:tr>
      <w:tr w:rsidR="006B7724" w:rsidRPr="002F6F8E" w:rsidTr="007549B0">
        <w:trPr>
          <w:cantSplit/>
          <w:trHeight w:val="265"/>
          <w:jc w:val="center"/>
        </w:trPr>
        <w:tc>
          <w:tcPr>
            <w:tcW w:w="2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lastRenderedPageBreak/>
              <w:t>Capítulo VII. De la sociedad administradora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7.1 Funciones y obligaciones</w:t>
            </w:r>
          </w:p>
        </w:tc>
      </w:tr>
      <w:tr w:rsidR="006B7724" w:rsidRPr="002F6F8E" w:rsidTr="00D44892">
        <w:trPr>
          <w:cantSplit/>
          <w:trHeight w:val="265"/>
          <w:jc w:val="center"/>
        </w:trPr>
        <w:tc>
          <w:tcPr>
            <w:tcW w:w="2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7.2 Facultades y Derechos</w:t>
            </w:r>
          </w:p>
        </w:tc>
      </w:tr>
      <w:tr w:rsidR="006B7724" w:rsidRPr="002F6F8E" w:rsidTr="00D44892">
        <w:trPr>
          <w:cantSplit/>
          <w:trHeight w:val="265"/>
          <w:jc w:val="center"/>
        </w:trPr>
        <w:tc>
          <w:tcPr>
            <w:tcW w:w="2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 xml:space="preserve">7.3 </w:t>
            </w:r>
            <w:r w:rsidR="00463DCE" w:rsidRPr="002F6F8E">
              <w:rPr>
                <w:rFonts w:ascii="Arial" w:hAnsi="Arial" w:cs="Arial"/>
                <w:sz w:val="16"/>
                <w:szCs w:val="16"/>
              </w:rPr>
              <w:t>Metodología de cálculo de la remuneración y forma de pago</w:t>
            </w:r>
          </w:p>
        </w:tc>
      </w:tr>
      <w:tr w:rsidR="006B7724" w:rsidRPr="002F6F8E" w:rsidTr="001C532C">
        <w:trPr>
          <w:cantSplit/>
          <w:trHeight w:val="265"/>
          <w:jc w:val="center"/>
        </w:trPr>
        <w:tc>
          <w:tcPr>
            <w:tcW w:w="2008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>Capítulo VIII. Del gestor externo o gestor extranjero (si lo hay)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8.1 Procedimiento y criterios de selección.</w:t>
            </w:r>
          </w:p>
        </w:tc>
      </w:tr>
      <w:tr w:rsidR="006B7724" w:rsidRPr="002F6F8E" w:rsidTr="001C532C">
        <w:trPr>
          <w:cantSplit/>
          <w:trHeight w:val="265"/>
          <w:jc w:val="center"/>
        </w:trPr>
        <w:tc>
          <w:tcPr>
            <w:tcW w:w="200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8.2 Funciones y obligaciones</w:t>
            </w:r>
          </w:p>
        </w:tc>
      </w:tr>
      <w:tr w:rsidR="006B7724" w:rsidRPr="002F6F8E" w:rsidTr="001C532C">
        <w:trPr>
          <w:cantSplit/>
          <w:trHeight w:val="265"/>
          <w:jc w:val="center"/>
        </w:trPr>
        <w:tc>
          <w:tcPr>
            <w:tcW w:w="200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 xml:space="preserve">8.3 Facultades y derechos </w:t>
            </w:r>
          </w:p>
        </w:tc>
      </w:tr>
      <w:tr w:rsidR="006B7724" w:rsidRPr="002F6F8E" w:rsidTr="001C532C">
        <w:trPr>
          <w:cantSplit/>
          <w:trHeight w:val="265"/>
          <w:jc w:val="center"/>
        </w:trPr>
        <w:tc>
          <w:tcPr>
            <w:tcW w:w="2008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 xml:space="preserve">8.4 </w:t>
            </w:r>
            <w:r w:rsidR="003A39C9" w:rsidRPr="002F6F8E">
              <w:rPr>
                <w:rFonts w:ascii="Arial" w:hAnsi="Arial" w:cs="Arial"/>
                <w:sz w:val="16"/>
                <w:szCs w:val="16"/>
              </w:rPr>
              <w:t>Metodología de cálculo de la r</w:t>
            </w:r>
            <w:r w:rsidRPr="002F6F8E">
              <w:rPr>
                <w:rFonts w:ascii="Arial" w:hAnsi="Arial" w:cs="Arial"/>
                <w:sz w:val="16"/>
                <w:szCs w:val="16"/>
              </w:rPr>
              <w:t>emuneración</w:t>
            </w:r>
            <w:r w:rsidR="003A39C9" w:rsidRPr="002F6F8E">
              <w:rPr>
                <w:rFonts w:ascii="Arial" w:hAnsi="Arial" w:cs="Arial"/>
                <w:sz w:val="16"/>
                <w:szCs w:val="16"/>
              </w:rPr>
              <w:t xml:space="preserve"> y forma de pago</w:t>
            </w:r>
          </w:p>
        </w:tc>
      </w:tr>
      <w:tr w:rsidR="006B7724" w:rsidRPr="002F6F8E" w:rsidTr="001C532C">
        <w:trPr>
          <w:cantSplit/>
          <w:trHeight w:val="265"/>
          <w:jc w:val="center"/>
        </w:trPr>
        <w:tc>
          <w:tcPr>
            <w:tcW w:w="2008" w:type="pct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>Capítulo IX. Del custodio de valores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9.1 Funciones y obligaciones</w:t>
            </w:r>
          </w:p>
        </w:tc>
      </w:tr>
      <w:tr w:rsidR="006B7724" w:rsidRPr="002F6F8E" w:rsidTr="001C532C">
        <w:trPr>
          <w:cantSplit/>
          <w:trHeight w:val="265"/>
          <w:jc w:val="center"/>
        </w:trPr>
        <w:tc>
          <w:tcPr>
            <w:tcW w:w="200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9.2 Facultades y derechos</w:t>
            </w:r>
          </w:p>
        </w:tc>
      </w:tr>
      <w:tr w:rsidR="006B7724" w:rsidRPr="002F6F8E" w:rsidTr="001C532C">
        <w:trPr>
          <w:cantSplit/>
          <w:trHeight w:val="265"/>
          <w:jc w:val="center"/>
        </w:trPr>
        <w:tc>
          <w:tcPr>
            <w:tcW w:w="2008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 xml:space="preserve">9.3 </w:t>
            </w:r>
            <w:r w:rsidR="003A39C9" w:rsidRPr="002F6F8E">
              <w:rPr>
                <w:rFonts w:ascii="Arial" w:hAnsi="Arial" w:cs="Arial"/>
                <w:sz w:val="16"/>
                <w:szCs w:val="16"/>
              </w:rPr>
              <w:t>Metodología de cálculo de la remuneración y forma de pago</w:t>
            </w:r>
          </w:p>
        </w:tc>
      </w:tr>
      <w:tr w:rsidR="006B7724" w:rsidRPr="002F6F8E" w:rsidTr="001C532C">
        <w:trPr>
          <w:cantSplit/>
          <w:trHeight w:val="265"/>
          <w:jc w:val="center"/>
        </w:trPr>
        <w:tc>
          <w:tcPr>
            <w:tcW w:w="20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>Capítulo X. Distribución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 xml:space="preserve">10.1 Medios de distribución del FIC </w:t>
            </w:r>
          </w:p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10.2 Distribuidor especializado del FIC y cuenta ómnibus (si aplica)</w:t>
            </w:r>
          </w:p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10.3 Deber de asesoría especial (si aplica)</w:t>
            </w:r>
            <w:r w:rsidRPr="002F6F8E" w:rsidDel="003D65C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B7724" w:rsidRPr="002F6F8E" w:rsidTr="001C532C">
        <w:trPr>
          <w:cantSplit/>
          <w:trHeight w:val="265"/>
          <w:jc w:val="center"/>
        </w:trPr>
        <w:tc>
          <w:tcPr>
            <w:tcW w:w="2008" w:type="pct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>Capítulo XI. De los inversionistas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11.1 Obligaciones</w:t>
            </w:r>
          </w:p>
        </w:tc>
      </w:tr>
      <w:tr w:rsidR="006B7724" w:rsidRPr="002F6F8E" w:rsidTr="001C532C">
        <w:trPr>
          <w:cantSplit/>
          <w:trHeight w:val="265"/>
          <w:jc w:val="center"/>
        </w:trPr>
        <w:tc>
          <w:tcPr>
            <w:tcW w:w="200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11.2 Facultades y derechos</w:t>
            </w:r>
          </w:p>
        </w:tc>
      </w:tr>
      <w:tr w:rsidR="006B7724" w:rsidRPr="002F6F8E" w:rsidTr="001C532C">
        <w:trPr>
          <w:cantSplit/>
          <w:trHeight w:val="265"/>
          <w:jc w:val="center"/>
        </w:trPr>
        <w:tc>
          <w:tcPr>
            <w:tcW w:w="200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11.3 Asamblea de inversionistas</w:t>
            </w:r>
          </w:p>
        </w:tc>
      </w:tr>
      <w:tr w:rsidR="006B7724" w:rsidRPr="002F6F8E" w:rsidTr="001C532C">
        <w:trPr>
          <w:cantSplit/>
          <w:trHeight w:val="265"/>
          <w:jc w:val="center"/>
        </w:trPr>
        <w:tc>
          <w:tcPr>
            <w:tcW w:w="200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11.3.1 Convocatoria</w:t>
            </w:r>
          </w:p>
        </w:tc>
      </w:tr>
      <w:tr w:rsidR="006B7724" w:rsidRPr="002F6F8E" w:rsidTr="001C532C">
        <w:trPr>
          <w:cantSplit/>
          <w:trHeight w:val="265"/>
          <w:jc w:val="center"/>
        </w:trPr>
        <w:tc>
          <w:tcPr>
            <w:tcW w:w="200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11.3.2 Funciones</w:t>
            </w:r>
          </w:p>
        </w:tc>
      </w:tr>
      <w:tr w:rsidR="006B7724" w:rsidRPr="002F6F8E" w:rsidTr="001C532C">
        <w:trPr>
          <w:cantSplit/>
          <w:trHeight w:val="265"/>
          <w:jc w:val="center"/>
        </w:trPr>
        <w:tc>
          <w:tcPr>
            <w:tcW w:w="2008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11.3.3 Consulta Universal</w:t>
            </w:r>
          </w:p>
        </w:tc>
      </w:tr>
      <w:tr w:rsidR="006B7724" w:rsidRPr="002F6F8E" w:rsidTr="001C532C">
        <w:trPr>
          <w:cantSplit/>
          <w:trHeight w:val="265"/>
          <w:jc w:val="center"/>
        </w:trPr>
        <w:tc>
          <w:tcPr>
            <w:tcW w:w="2008" w:type="pct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>Capítulo XII. Mecanismos de revelación de información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12.1 Reglamento</w:t>
            </w:r>
          </w:p>
        </w:tc>
      </w:tr>
      <w:tr w:rsidR="006B7724" w:rsidRPr="002F6F8E" w:rsidTr="001C532C">
        <w:trPr>
          <w:cantSplit/>
          <w:trHeight w:val="265"/>
          <w:jc w:val="center"/>
        </w:trPr>
        <w:tc>
          <w:tcPr>
            <w:tcW w:w="200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 xml:space="preserve">12.2 Prospecto </w:t>
            </w:r>
          </w:p>
        </w:tc>
      </w:tr>
      <w:tr w:rsidR="006B7724" w:rsidRPr="002F6F8E" w:rsidTr="001C532C">
        <w:trPr>
          <w:cantSplit/>
          <w:trHeight w:val="265"/>
          <w:jc w:val="center"/>
        </w:trPr>
        <w:tc>
          <w:tcPr>
            <w:tcW w:w="200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12.3 Extracto de cuenta</w:t>
            </w:r>
            <w:r w:rsidR="00C147D5" w:rsidRPr="002F6F8E">
              <w:rPr>
                <w:rFonts w:ascii="Arial" w:hAnsi="Arial" w:cs="Arial"/>
                <w:sz w:val="16"/>
                <w:szCs w:val="16"/>
              </w:rPr>
              <w:t xml:space="preserve"> y medio(s) previsto(s) para su remisión.</w:t>
            </w:r>
          </w:p>
        </w:tc>
      </w:tr>
      <w:tr w:rsidR="006B7724" w:rsidRPr="002F6F8E" w:rsidTr="001C532C">
        <w:trPr>
          <w:cantSplit/>
          <w:trHeight w:val="265"/>
          <w:jc w:val="center"/>
        </w:trPr>
        <w:tc>
          <w:tcPr>
            <w:tcW w:w="200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12.4 Rendición de cuentas</w:t>
            </w:r>
          </w:p>
        </w:tc>
      </w:tr>
      <w:tr w:rsidR="006B7724" w:rsidRPr="002F6F8E" w:rsidTr="001C532C">
        <w:trPr>
          <w:cantSplit/>
          <w:trHeight w:val="265"/>
          <w:jc w:val="center"/>
        </w:trPr>
        <w:tc>
          <w:tcPr>
            <w:tcW w:w="200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12.5 Ficha técnica</w:t>
            </w:r>
          </w:p>
        </w:tc>
      </w:tr>
      <w:tr w:rsidR="006B7724" w:rsidRPr="002F6F8E" w:rsidTr="001C532C">
        <w:trPr>
          <w:cantSplit/>
          <w:trHeight w:val="265"/>
          <w:jc w:val="center"/>
        </w:trPr>
        <w:tc>
          <w:tcPr>
            <w:tcW w:w="2008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12.6 Sitio de internet de la sociedad administradora</w:t>
            </w:r>
          </w:p>
        </w:tc>
      </w:tr>
      <w:tr w:rsidR="006B7724" w:rsidRPr="002F6F8E" w:rsidTr="001C532C">
        <w:trPr>
          <w:cantSplit/>
          <w:trHeight w:val="265"/>
          <w:jc w:val="center"/>
        </w:trPr>
        <w:tc>
          <w:tcPr>
            <w:tcW w:w="2008" w:type="pct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>Capítulo XIII. Liquidación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13.1</w:t>
            </w:r>
            <w:r w:rsidR="00904BFB" w:rsidRPr="002F6F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F6F8E">
              <w:rPr>
                <w:rFonts w:ascii="Arial" w:hAnsi="Arial" w:cs="Arial"/>
                <w:sz w:val="16"/>
                <w:szCs w:val="16"/>
              </w:rPr>
              <w:t>Causales</w:t>
            </w:r>
          </w:p>
        </w:tc>
      </w:tr>
      <w:tr w:rsidR="006B7724" w:rsidRPr="002F6F8E" w:rsidTr="001C532C">
        <w:trPr>
          <w:cantSplit/>
          <w:trHeight w:val="265"/>
          <w:jc w:val="center"/>
        </w:trPr>
        <w:tc>
          <w:tcPr>
            <w:tcW w:w="2008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13.2</w:t>
            </w:r>
            <w:r w:rsidR="00904BFB" w:rsidRPr="002F6F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F6F8E">
              <w:rPr>
                <w:rFonts w:ascii="Arial" w:hAnsi="Arial" w:cs="Arial"/>
                <w:sz w:val="16"/>
                <w:szCs w:val="16"/>
              </w:rPr>
              <w:t>Procedimiento</w:t>
            </w:r>
          </w:p>
        </w:tc>
      </w:tr>
      <w:tr w:rsidR="006B7724" w:rsidRPr="002F6F8E" w:rsidTr="001C532C">
        <w:trPr>
          <w:cantSplit/>
          <w:trHeight w:val="265"/>
          <w:jc w:val="center"/>
        </w:trPr>
        <w:tc>
          <w:tcPr>
            <w:tcW w:w="200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>Capítulo XIV. Modificaciones al reglamento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14 Derecho de retiro</w:t>
            </w:r>
          </w:p>
        </w:tc>
      </w:tr>
    </w:tbl>
    <w:p w:rsidR="00DA32FD" w:rsidRPr="002F6F8E" w:rsidRDefault="00DA32FD" w:rsidP="00F92A9E">
      <w:pPr>
        <w:jc w:val="center"/>
        <w:rPr>
          <w:rFonts w:ascii="Arial" w:hAnsi="Arial" w:cs="Arial"/>
          <w:sz w:val="16"/>
          <w:szCs w:val="16"/>
        </w:rPr>
      </w:pPr>
    </w:p>
    <w:sectPr w:rsidR="00DA32FD" w:rsidRPr="002F6F8E" w:rsidSect="001A44F1">
      <w:headerReference w:type="default" r:id="rId9"/>
      <w:footerReference w:type="default" r:id="rId10"/>
      <w:pgSz w:w="12242" w:h="18722" w:code="14"/>
      <w:pgMar w:top="1701" w:right="1701" w:bottom="1701" w:left="1701" w:header="624" w:footer="107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3FB" w:rsidRDefault="00F533FB">
      <w:r>
        <w:separator/>
      </w:r>
    </w:p>
  </w:endnote>
  <w:endnote w:type="continuationSeparator" w:id="0">
    <w:p w:rsidR="00F533FB" w:rsidRDefault="00F533FB">
      <w:r>
        <w:continuationSeparator/>
      </w:r>
    </w:p>
  </w:endnote>
  <w:endnote w:type="continuationNotice" w:id="1">
    <w:p w:rsidR="00F533FB" w:rsidRDefault="00F533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074" w:rsidRPr="00CC7272" w:rsidRDefault="008A0074" w:rsidP="00D44892">
    <w:pPr>
      <w:pStyle w:val="Piedepgina"/>
      <w:framePr w:wrap="around" w:vAnchor="text" w:hAnchor="page" w:x="7822" w:y="1"/>
      <w:rPr>
        <w:rStyle w:val="Nmerodepgina"/>
        <w:rFonts w:ascii="Arial" w:hAnsi="Arial" w:cs="Arial"/>
        <w:sz w:val="22"/>
        <w:szCs w:val="22"/>
      </w:rPr>
    </w:pPr>
  </w:p>
  <w:p w:rsidR="008A0074" w:rsidRPr="001A44F1" w:rsidRDefault="001A44F1" w:rsidP="001A44F1">
    <w:pPr>
      <w:pStyle w:val="Textosinformato"/>
      <w:jc w:val="both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bCs/>
        <w:sz w:val="18"/>
        <w:szCs w:val="18"/>
        <w:lang w:val="pt-BR"/>
      </w:rPr>
      <w:t xml:space="preserve">PARTE </w:t>
    </w:r>
    <w:r>
      <w:rPr>
        <w:rFonts w:ascii="Arial" w:hAnsi="Arial" w:cs="Arial"/>
        <w:b/>
        <w:bCs/>
        <w:sz w:val="18"/>
        <w:szCs w:val="18"/>
        <w:lang w:val="pt-BR"/>
      </w:rPr>
      <w:t xml:space="preserve">III - </w:t>
    </w:r>
    <w:proofErr w:type="gramStart"/>
    <w:r>
      <w:rPr>
        <w:rFonts w:ascii="Arial" w:hAnsi="Arial" w:cs="Arial"/>
        <w:b/>
        <w:bCs/>
        <w:sz w:val="18"/>
        <w:szCs w:val="18"/>
        <w:lang w:val="pt-BR"/>
      </w:rPr>
      <w:t xml:space="preserve">TÍTULO </w:t>
    </w:r>
    <w:r>
      <w:rPr>
        <w:rFonts w:ascii="Arial" w:hAnsi="Arial" w:cs="Arial"/>
        <w:b/>
        <w:bCs/>
        <w:sz w:val="18"/>
        <w:szCs w:val="18"/>
        <w:lang w:val="pt-BR"/>
      </w:rPr>
      <w:t>V</w:t>
    </w:r>
    <w:r>
      <w:rPr>
        <w:rFonts w:ascii="Arial" w:hAnsi="Arial" w:cs="Arial"/>
        <w:b/>
        <w:bCs/>
        <w:sz w:val="18"/>
        <w:szCs w:val="18"/>
        <w:lang w:val="pt-BR"/>
      </w:rPr>
      <w:t>I</w:t>
    </w:r>
    <w:proofErr w:type="gramEnd"/>
    <w:r>
      <w:rPr>
        <w:rFonts w:ascii="Arial" w:hAnsi="Arial" w:cs="Arial"/>
        <w:b/>
        <w:bCs/>
        <w:sz w:val="18"/>
        <w:szCs w:val="18"/>
        <w:lang w:val="pt-BR"/>
      </w:rPr>
      <w:t xml:space="preserve"> - ANEXO 1</w:t>
    </w:r>
    <w:r w:rsidRPr="002B6B38">
      <w:rPr>
        <w:rFonts w:ascii="Arial" w:hAnsi="Arial" w:cs="Arial"/>
        <w:b/>
        <w:bCs/>
        <w:sz w:val="18"/>
        <w:szCs w:val="18"/>
        <w:lang w:val="pt-BR"/>
      </w:rPr>
      <w:tab/>
    </w:r>
    <w:r>
      <w:rPr>
        <w:rFonts w:ascii="Arial" w:hAnsi="Arial" w:cs="Arial"/>
        <w:b/>
        <w:bCs/>
        <w:sz w:val="18"/>
        <w:szCs w:val="18"/>
        <w:lang w:val="pt-BR"/>
      </w:rPr>
      <w:t xml:space="preserve">                                                                             </w:t>
    </w:r>
    <w:r w:rsidR="002A027C">
      <w:rPr>
        <w:rFonts w:ascii="Arial" w:hAnsi="Arial" w:cs="Arial"/>
        <w:b/>
        <w:bCs/>
        <w:sz w:val="18"/>
        <w:szCs w:val="18"/>
        <w:lang w:val="pt-BR"/>
      </w:rPr>
      <w:t xml:space="preserve">                 </w:t>
    </w:r>
    <w:r>
      <w:rPr>
        <w:rFonts w:ascii="Arial" w:hAnsi="Arial" w:cs="Arial"/>
        <w:b/>
        <w:bCs/>
        <w:sz w:val="18"/>
        <w:szCs w:val="18"/>
        <w:lang w:val="pt-BR"/>
      </w:rPr>
      <w:t>P</w:t>
    </w:r>
    <w:r w:rsidRPr="002B6B38">
      <w:rPr>
        <w:rFonts w:ascii="Arial" w:hAnsi="Arial" w:cs="Arial"/>
        <w:b/>
        <w:bCs/>
        <w:sz w:val="18"/>
        <w:szCs w:val="18"/>
        <w:lang w:val="pt-BR"/>
      </w:rPr>
      <w:t>ÁGINA</w:t>
    </w:r>
    <w:r>
      <w:rPr>
        <w:rFonts w:ascii="Arial" w:eastAsia="MS Mincho" w:hAnsi="Arial" w:cs="Arial"/>
      </w:rPr>
      <w:t xml:space="preserve">    </w:t>
    </w:r>
    <w:r w:rsidRPr="00313F99">
      <w:rPr>
        <w:rFonts w:ascii="Arial" w:hAnsi="Arial" w:cs="Arial"/>
        <w:b/>
        <w:sz w:val="18"/>
        <w:szCs w:val="18"/>
      </w:rPr>
      <w:fldChar w:fldCharType="begin"/>
    </w:r>
    <w:r w:rsidRPr="00313F99">
      <w:rPr>
        <w:rFonts w:ascii="Arial" w:hAnsi="Arial" w:cs="Arial"/>
        <w:b/>
        <w:sz w:val="18"/>
        <w:szCs w:val="18"/>
      </w:rPr>
      <w:instrText>PAGE   \* MERGEFORMAT</w:instrText>
    </w:r>
    <w:r w:rsidRPr="00313F99">
      <w:rPr>
        <w:rFonts w:ascii="Arial" w:hAnsi="Arial" w:cs="Arial"/>
        <w:b/>
        <w:sz w:val="18"/>
        <w:szCs w:val="18"/>
      </w:rPr>
      <w:fldChar w:fldCharType="separate"/>
    </w:r>
    <w:r w:rsidR="002A027C">
      <w:rPr>
        <w:rFonts w:ascii="Arial" w:hAnsi="Arial" w:cs="Arial"/>
        <w:b/>
        <w:noProof/>
        <w:sz w:val="18"/>
        <w:szCs w:val="18"/>
      </w:rPr>
      <w:t>1</w:t>
    </w:r>
    <w:r w:rsidRPr="00313F99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3FB" w:rsidRDefault="00F533FB">
      <w:r>
        <w:rPr>
          <w:color w:val="000000"/>
        </w:rPr>
        <w:separator/>
      </w:r>
    </w:p>
  </w:footnote>
  <w:footnote w:type="continuationSeparator" w:id="0">
    <w:p w:rsidR="00F533FB" w:rsidRDefault="00F533FB">
      <w:r>
        <w:continuationSeparator/>
      </w:r>
    </w:p>
  </w:footnote>
  <w:footnote w:type="continuationNotice" w:id="1">
    <w:p w:rsidR="00F533FB" w:rsidRDefault="00F533F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074" w:rsidRPr="001A44F1" w:rsidRDefault="008A0074" w:rsidP="00D44892">
    <w:pPr>
      <w:pStyle w:val="Encabezado"/>
      <w:jc w:val="center"/>
      <w:rPr>
        <w:rFonts w:ascii="Arial" w:hAnsi="Arial" w:cs="Arial"/>
        <w:sz w:val="24"/>
        <w:szCs w:val="18"/>
      </w:rPr>
    </w:pPr>
    <w:r w:rsidRPr="001A44F1">
      <w:rPr>
        <w:rFonts w:ascii="Arial" w:hAnsi="Arial" w:cs="Arial"/>
        <w:b/>
        <w:sz w:val="24"/>
        <w:szCs w:val="18"/>
        <w:lang w:val="es-MX"/>
      </w:rPr>
      <w:t>SUPERINTENDENCIA FINANCIERA DE COLOMBIA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9AA"/>
    <w:multiLevelType w:val="multilevel"/>
    <w:tmpl w:val="05329122"/>
    <w:styleLink w:val="WWOutlineListStyle15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4BF3970"/>
    <w:multiLevelType w:val="multilevel"/>
    <w:tmpl w:val="94645EC0"/>
    <w:styleLink w:val="WWOutlineListStyle1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56C3E62"/>
    <w:multiLevelType w:val="multilevel"/>
    <w:tmpl w:val="4798F7C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sz w:val="16"/>
        <w:szCs w:val="16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sz w:val="16"/>
        <w:szCs w:val="16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16"/>
        <w:szCs w:val="16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08E15D2D"/>
    <w:multiLevelType w:val="multilevel"/>
    <w:tmpl w:val="1500EB9C"/>
    <w:numStyleLink w:val="Estilo1"/>
  </w:abstractNum>
  <w:abstractNum w:abstractNumId="4">
    <w:nsid w:val="09257DC6"/>
    <w:multiLevelType w:val="multilevel"/>
    <w:tmpl w:val="C76AA6EC"/>
    <w:styleLink w:val="WWOutlineListStyle9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B4D4993"/>
    <w:multiLevelType w:val="multilevel"/>
    <w:tmpl w:val="B1E65BEC"/>
    <w:styleLink w:val="WWOutlineListStyle1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0BD3481C"/>
    <w:multiLevelType w:val="hybridMultilevel"/>
    <w:tmpl w:val="2CDE96D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C8B682D"/>
    <w:multiLevelType w:val="multilevel"/>
    <w:tmpl w:val="1500EB9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18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18"/>
        <w:szCs w:val="18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11D07E22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120E5E14"/>
    <w:multiLevelType w:val="multilevel"/>
    <w:tmpl w:val="1500EB9C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  <w:sz w:val="18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18"/>
        <w:szCs w:val="18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14702E15"/>
    <w:multiLevelType w:val="multilevel"/>
    <w:tmpl w:val="4E404CEA"/>
    <w:styleLink w:val="WWOutlineListStyle6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16765029"/>
    <w:multiLevelType w:val="multilevel"/>
    <w:tmpl w:val="1500EB9C"/>
    <w:styleLink w:val="Estilo2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sz w:val="18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18"/>
        <w:szCs w:val="18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1A450BBB"/>
    <w:multiLevelType w:val="hybridMultilevel"/>
    <w:tmpl w:val="C8AC20E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C3A1E70"/>
    <w:multiLevelType w:val="multilevel"/>
    <w:tmpl w:val="7EAE52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90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1C466A93"/>
    <w:multiLevelType w:val="multilevel"/>
    <w:tmpl w:val="10C82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18"/>
      </w:rPr>
    </w:lvl>
    <w:lvl w:ilvl="1">
      <w:start w:val="1"/>
      <w:numFmt w:val="decimal"/>
      <w:pStyle w:val="Titulo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077" w:hanging="720"/>
      </w:pPr>
      <w:rPr>
        <w:rFonts w:ascii="Arial" w:hAnsi="Arial" w:cs="Arial" w:hint="default"/>
        <w:b/>
        <w:i w:val="0"/>
        <w:sz w:val="1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15">
    <w:nsid w:val="1D0D1FD1"/>
    <w:multiLevelType w:val="multilevel"/>
    <w:tmpl w:val="BFB2B18A"/>
    <w:styleLink w:val="WWOutlineListStyle5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1DD94210"/>
    <w:multiLevelType w:val="multilevel"/>
    <w:tmpl w:val="661CDB72"/>
    <w:styleLink w:val="WWOutlineListStyle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1E3B7BF2"/>
    <w:multiLevelType w:val="multilevel"/>
    <w:tmpl w:val="1500EB9C"/>
    <w:styleLink w:val="Estilo3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  <w:sz w:val="18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18"/>
        <w:szCs w:val="18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>
    <w:nsid w:val="24743C18"/>
    <w:multiLevelType w:val="multilevel"/>
    <w:tmpl w:val="5F8A9502"/>
    <w:styleLink w:val="WWOutlineListStyle8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24B43CD3"/>
    <w:multiLevelType w:val="multilevel"/>
    <w:tmpl w:val="FE442ED6"/>
    <w:lvl w:ilvl="0">
      <w:start w:val="1"/>
      <w:numFmt w:val="decimal"/>
      <w:lvlText w:val="%1."/>
      <w:lvlJc w:val="left"/>
      <w:pPr>
        <w:ind w:left="432" w:hanging="432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2C6E2F69"/>
    <w:multiLevelType w:val="multilevel"/>
    <w:tmpl w:val="FAFC48FA"/>
    <w:styleLink w:val="WWOutlineListStyle14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34DB7DD1"/>
    <w:multiLevelType w:val="multilevel"/>
    <w:tmpl w:val="40A8C590"/>
    <w:styleLink w:val="WWOutlineListStyle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34F558A0"/>
    <w:multiLevelType w:val="multilevel"/>
    <w:tmpl w:val="5218F2FA"/>
    <w:styleLink w:val="WWOutlineListStyle1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383043C3"/>
    <w:multiLevelType w:val="multilevel"/>
    <w:tmpl w:val="6198A39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eastAsia="Times New Roman" w:hAnsi="Arial" w:cs="Arial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39D323F5"/>
    <w:multiLevelType w:val="multilevel"/>
    <w:tmpl w:val="612E7B7A"/>
    <w:styleLink w:val="WWOutlineListStyle4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3EA5114A"/>
    <w:multiLevelType w:val="hybridMultilevel"/>
    <w:tmpl w:val="B8B4677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F33517C"/>
    <w:multiLevelType w:val="multilevel"/>
    <w:tmpl w:val="1500EB9C"/>
    <w:numStyleLink w:val="Estilo2"/>
  </w:abstractNum>
  <w:abstractNum w:abstractNumId="27">
    <w:nsid w:val="40623AB5"/>
    <w:multiLevelType w:val="multilevel"/>
    <w:tmpl w:val="7EAE52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90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>
    <w:nsid w:val="417153A3"/>
    <w:multiLevelType w:val="multilevel"/>
    <w:tmpl w:val="7EAE52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90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>
    <w:nsid w:val="471D6A5F"/>
    <w:multiLevelType w:val="multilevel"/>
    <w:tmpl w:val="F32C6AAA"/>
    <w:styleLink w:val="WWOutlineListStyle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4F1475D7"/>
    <w:multiLevelType w:val="hybridMultilevel"/>
    <w:tmpl w:val="FFA64352"/>
    <w:lvl w:ilvl="0" w:tplc="E72E64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0A5C6B"/>
    <w:multiLevelType w:val="multilevel"/>
    <w:tmpl w:val="1500EB9C"/>
    <w:styleLink w:val="Estilo1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  <w:sz w:val="18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18"/>
        <w:szCs w:val="18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>
    <w:nsid w:val="523F75CA"/>
    <w:multiLevelType w:val="multilevel"/>
    <w:tmpl w:val="1500EB9C"/>
    <w:numStyleLink w:val="Estilo4"/>
  </w:abstractNum>
  <w:abstractNum w:abstractNumId="33">
    <w:nsid w:val="525F4A70"/>
    <w:multiLevelType w:val="multilevel"/>
    <w:tmpl w:val="1500EB9C"/>
    <w:numStyleLink w:val="Estilo3"/>
  </w:abstractNum>
  <w:abstractNum w:abstractNumId="34">
    <w:nsid w:val="52D800DB"/>
    <w:multiLevelType w:val="multilevel"/>
    <w:tmpl w:val="E572F9E2"/>
    <w:styleLink w:val="WWOutlineListStyle16"/>
    <w:lvl w:ilvl="0">
      <w:start w:val="1"/>
      <w:numFmt w:val="decimal"/>
      <w:pStyle w:val="Ttulo1"/>
      <w:lvlText w:val="%1."/>
      <w:lvlJc w:val="left"/>
      <w:pPr>
        <w:ind w:left="720" w:hanging="72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5">
    <w:nsid w:val="55962D9E"/>
    <w:multiLevelType w:val="multilevel"/>
    <w:tmpl w:val="7EAE52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90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>
    <w:nsid w:val="5851718F"/>
    <w:multiLevelType w:val="multilevel"/>
    <w:tmpl w:val="7EAE52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90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>
    <w:nsid w:val="5FD82236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>
    <w:nsid w:val="635218F5"/>
    <w:multiLevelType w:val="multilevel"/>
    <w:tmpl w:val="7EAE52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90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>
    <w:nsid w:val="670038D4"/>
    <w:multiLevelType w:val="multilevel"/>
    <w:tmpl w:val="98CAFF0C"/>
    <w:styleLink w:val="WWOutlineListStyle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757E46EA"/>
    <w:multiLevelType w:val="multilevel"/>
    <w:tmpl w:val="87484FD6"/>
    <w:styleLink w:val="WWOutlineListStyle7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78E82440"/>
    <w:multiLevelType w:val="multilevel"/>
    <w:tmpl w:val="BB7C3D90"/>
    <w:styleLink w:val="WWOutlineListStyle1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7FC166B2"/>
    <w:multiLevelType w:val="hybridMultilevel"/>
    <w:tmpl w:val="B8B4677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0"/>
  </w:num>
  <w:num w:numId="3">
    <w:abstractNumId w:val="20"/>
  </w:num>
  <w:num w:numId="4">
    <w:abstractNumId w:val="41"/>
  </w:num>
  <w:num w:numId="5">
    <w:abstractNumId w:val="5"/>
  </w:num>
  <w:num w:numId="6">
    <w:abstractNumId w:val="1"/>
  </w:num>
  <w:num w:numId="7">
    <w:abstractNumId w:val="22"/>
  </w:num>
  <w:num w:numId="8">
    <w:abstractNumId w:val="4"/>
  </w:num>
  <w:num w:numId="9">
    <w:abstractNumId w:val="18"/>
  </w:num>
  <w:num w:numId="10">
    <w:abstractNumId w:val="40"/>
  </w:num>
  <w:num w:numId="11">
    <w:abstractNumId w:val="10"/>
  </w:num>
  <w:num w:numId="12">
    <w:abstractNumId w:val="15"/>
  </w:num>
  <w:num w:numId="13">
    <w:abstractNumId w:val="24"/>
  </w:num>
  <w:num w:numId="14">
    <w:abstractNumId w:val="29"/>
  </w:num>
  <w:num w:numId="15">
    <w:abstractNumId w:val="21"/>
  </w:num>
  <w:num w:numId="16">
    <w:abstractNumId w:val="39"/>
  </w:num>
  <w:num w:numId="17">
    <w:abstractNumId w:val="16"/>
  </w:num>
  <w:num w:numId="18">
    <w:abstractNumId w:val="14"/>
  </w:num>
  <w:num w:numId="19">
    <w:abstractNumId w:val="35"/>
  </w:num>
  <w:num w:numId="20">
    <w:abstractNumId w:val="6"/>
  </w:num>
  <w:num w:numId="21">
    <w:abstractNumId w:val="7"/>
  </w:num>
  <w:num w:numId="22">
    <w:abstractNumId w:val="23"/>
  </w:num>
  <w:num w:numId="23">
    <w:abstractNumId w:val="31"/>
  </w:num>
  <w:num w:numId="24">
    <w:abstractNumId w:val="3"/>
  </w:num>
  <w:num w:numId="25">
    <w:abstractNumId w:val="26"/>
  </w:num>
  <w:num w:numId="26">
    <w:abstractNumId w:val="11"/>
  </w:num>
  <w:num w:numId="27">
    <w:abstractNumId w:val="30"/>
  </w:num>
  <w:num w:numId="28">
    <w:abstractNumId w:val="33"/>
  </w:num>
  <w:num w:numId="29">
    <w:abstractNumId w:val="17"/>
  </w:num>
  <w:num w:numId="30">
    <w:abstractNumId w:val="32"/>
  </w:num>
  <w:num w:numId="31">
    <w:abstractNumId w:val="9"/>
  </w:num>
  <w:num w:numId="32">
    <w:abstractNumId w:val="38"/>
  </w:num>
  <w:num w:numId="33">
    <w:abstractNumId w:val="27"/>
  </w:num>
  <w:num w:numId="34">
    <w:abstractNumId w:val="36"/>
  </w:num>
  <w:num w:numId="35">
    <w:abstractNumId w:val="28"/>
  </w:num>
  <w:num w:numId="36">
    <w:abstractNumId w:val="13"/>
  </w:num>
  <w:num w:numId="37">
    <w:abstractNumId w:val="2"/>
  </w:num>
  <w:num w:numId="38">
    <w:abstractNumId w:val="8"/>
  </w:num>
  <w:num w:numId="39">
    <w:abstractNumId w:val="19"/>
  </w:num>
  <w:num w:numId="40">
    <w:abstractNumId w:val="37"/>
  </w:num>
  <w:num w:numId="41">
    <w:abstractNumId w:val="42"/>
  </w:num>
  <w:num w:numId="42">
    <w:abstractNumId w:val="25"/>
  </w:num>
  <w:num w:numId="43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69"/>
    <w:rsid w:val="000009F8"/>
    <w:rsid w:val="00000D18"/>
    <w:rsid w:val="00004FD2"/>
    <w:rsid w:val="00013181"/>
    <w:rsid w:val="0001538C"/>
    <w:rsid w:val="000158AD"/>
    <w:rsid w:val="00024EB3"/>
    <w:rsid w:val="000337EB"/>
    <w:rsid w:val="0003456F"/>
    <w:rsid w:val="000362E4"/>
    <w:rsid w:val="00050AA3"/>
    <w:rsid w:val="00054081"/>
    <w:rsid w:val="000544DC"/>
    <w:rsid w:val="000555BB"/>
    <w:rsid w:val="00055E17"/>
    <w:rsid w:val="00062A5F"/>
    <w:rsid w:val="00062B3E"/>
    <w:rsid w:val="00062F2C"/>
    <w:rsid w:val="00063CD4"/>
    <w:rsid w:val="0006490F"/>
    <w:rsid w:val="00065211"/>
    <w:rsid w:val="000774E9"/>
    <w:rsid w:val="0008167A"/>
    <w:rsid w:val="000823DC"/>
    <w:rsid w:val="0008251E"/>
    <w:rsid w:val="00085122"/>
    <w:rsid w:val="00087D54"/>
    <w:rsid w:val="0009188A"/>
    <w:rsid w:val="00095172"/>
    <w:rsid w:val="0009650D"/>
    <w:rsid w:val="00096727"/>
    <w:rsid w:val="00097F3B"/>
    <w:rsid w:val="000A4FFB"/>
    <w:rsid w:val="000A7DE6"/>
    <w:rsid w:val="000B0C04"/>
    <w:rsid w:val="000B34C2"/>
    <w:rsid w:val="000C1FAF"/>
    <w:rsid w:val="000C224D"/>
    <w:rsid w:val="000C5E3E"/>
    <w:rsid w:val="000D04C4"/>
    <w:rsid w:val="000D1065"/>
    <w:rsid w:val="000D5CDE"/>
    <w:rsid w:val="000E3990"/>
    <w:rsid w:val="000E616B"/>
    <w:rsid w:val="000E63C1"/>
    <w:rsid w:val="000F13EB"/>
    <w:rsid w:val="000F3B09"/>
    <w:rsid w:val="000F44CF"/>
    <w:rsid w:val="000F554F"/>
    <w:rsid w:val="00100318"/>
    <w:rsid w:val="00101DEB"/>
    <w:rsid w:val="001110A5"/>
    <w:rsid w:val="00123967"/>
    <w:rsid w:val="00124F23"/>
    <w:rsid w:val="00136E63"/>
    <w:rsid w:val="00140DA9"/>
    <w:rsid w:val="001419B2"/>
    <w:rsid w:val="00155C0F"/>
    <w:rsid w:val="00156AF8"/>
    <w:rsid w:val="00157456"/>
    <w:rsid w:val="00160E6C"/>
    <w:rsid w:val="0016292A"/>
    <w:rsid w:val="0016305B"/>
    <w:rsid w:val="00170F63"/>
    <w:rsid w:val="0017192E"/>
    <w:rsid w:val="00176B91"/>
    <w:rsid w:val="001770B2"/>
    <w:rsid w:val="0018137C"/>
    <w:rsid w:val="00184308"/>
    <w:rsid w:val="0019012B"/>
    <w:rsid w:val="00195684"/>
    <w:rsid w:val="001A1126"/>
    <w:rsid w:val="001A17BB"/>
    <w:rsid w:val="001A1EDF"/>
    <w:rsid w:val="001A23F7"/>
    <w:rsid w:val="001A24E0"/>
    <w:rsid w:val="001A391F"/>
    <w:rsid w:val="001A44F1"/>
    <w:rsid w:val="001A56BF"/>
    <w:rsid w:val="001B20A7"/>
    <w:rsid w:val="001C515E"/>
    <w:rsid w:val="001C532C"/>
    <w:rsid w:val="001D0180"/>
    <w:rsid w:val="001D079B"/>
    <w:rsid w:val="001D0FCC"/>
    <w:rsid w:val="001D1CBD"/>
    <w:rsid w:val="001D51C6"/>
    <w:rsid w:val="001D7E0F"/>
    <w:rsid w:val="001E0436"/>
    <w:rsid w:val="001E174C"/>
    <w:rsid w:val="001F140D"/>
    <w:rsid w:val="001F1D35"/>
    <w:rsid w:val="001F6577"/>
    <w:rsid w:val="00200015"/>
    <w:rsid w:val="00207696"/>
    <w:rsid w:val="00207FCB"/>
    <w:rsid w:val="00211B44"/>
    <w:rsid w:val="00213769"/>
    <w:rsid w:val="00217BB6"/>
    <w:rsid w:val="00230D04"/>
    <w:rsid w:val="00232C06"/>
    <w:rsid w:val="00233FD4"/>
    <w:rsid w:val="002369EC"/>
    <w:rsid w:val="0024352E"/>
    <w:rsid w:val="00246115"/>
    <w:rsid w:val="002466F8"/>
    <w:rsid w:val="00246AE2"/>
    <w:rsid w:val="0024709D"/>
    <w:rsid w:val="00250F04"/>
    <w:rsid w:val="00254150"/>
    <w:rsid w:val="00256D70"/>
    <w:rsid w:val="002609B6"/>
    <w:rsid w:val="00260B2A"/>
    <w:rsid w:val="00264FF4"/>
    <w:rsid w:val="002661D3"/>
    <w:rsid w:val="00272FF3"/>
    <w:rsid w:val="00275E97"/>
    <w:rsid w:val="00276D18"/>
    <w:rsid w:val="0028063A"/>
    <w:rsid w:val="00285CE1"/>
    <w:rsid w:val="00287CBA"/>
    <w:rsid w:val="00292022"/>
    <w:rsid w:val="002932C7"/>
    <w:rsid w:val="0029545D"/>
    <w:rsid w:val="00296E4D"/>
    <w:rsid w:val="002A027C"/>
    <w:rsid w:val="002C03A1"/>
    <w:rsid w:val="002C6593"/>
    <w:rsid w:val="002D04D4"/>
    <w:rsid w:val="002D1687"/>
    <w:rsid w:val="002D1E38"/>
    <w:rsid w:val="002D3CAB"/>
    <w:rsid w:val="002D469A"/>
    <w:rsid w:val="002D4B26"/>
    <w:rsid w:val="002D5D94"/>
    <w:rsid w:val="002E24FB"/>
    <w:rsid w:val="002E7340"/>
    <w:rsid w:val="002E7F22"/>
    <w:rsid w:val="002F064D"/>
    <w:rsid w:val="002F26C1"/>
    <w:rsid w:val="002F3E34"/>
    <w:rsid w:val="002F4486"/>
    <w:rsid w:val="002F6F8E"/>
    <w:rsid w:val="00300B4D"/>
    <w:rsid w:val="00301DD1"/>
    <w:rsid w:val="0030309D"/>
    <w:rsid w:val="0030335A"/>
    <w:rsid w:val="00307144"/>
    <w:rsid w:val="00314F8D"/>
    <w:rsid w:val="00316865"/>
    <w:rsid w:val="003201B6"/>
    <w:rsid w:val="00325D17"/>
    <w:rsid w:val="0033037B"/>
    <w:rsid w:val="00331122"/>
    <w:rsid w:val="00332046"/>
    <w:rsid w:val="00336743"/>
    <w:rsid w:val="00337177"/>
    <w:rsid w:val="00342595"/>
    <w:rsid w:val="00342D59"/>
    <w:rsid w:val="00344AF8"/>
    <w:rsid w:val="00344CCF"/>
    <w:rsid w:val="00346141"/>
    <w:rsid w:val="00347ADE"/>
    <w:rsid w:val="00351F7A"/>
    <w:rsid w:val="0035377D"/>
    <w:rsid w:val="003546DB"/>
    <w:rsid w:val="00360889"/>
    <w:rsid w:val="00361AC2"/>
    <w:rsid w:val="00364DF0"/>
    <w:rsid w:val="00364FA9"/>
    <w:rsid w:val="00370A28"/>
    <w:rsid w:val="003715BF"/>
    <w:rsid w:val="0037625E"/>
    <w:rsid w:val="00380048"/>
    <w:rsid w:val="003928FD"/>
    <w:rsid w:val="00395E76"/>
    <w:rsid w:val="003972EA"/>
    <w:rsid w:val="003A0269"/>
    <w:rsid w:val="003A08AE"/>
    <w:rsid w:val="003A2A34"/>
    <w:rsid w:val="003A39C9"/>
    <w:rsid w:val="003A50E4"/>
    <w:rsid w:val="003A56C0"/>
    <w:rsid w:val="003A6143"/>
    <w:rsid w:val="003B2705"/>
    <w:rsid w:val="003C0F82"/>
    <w:rsid w:val="003C332D"/>
    <w:rsid w:val="003D596B"/>
    <w:rsid w:val="003E3AAD"/>
    <w:rsid w:val="003E6BBB"/>
    <w:rsid w:val="003E73F9"/>
    <w:rsid w:val="003F339E"/>
    <w:rsid w:val="003F4B16"/>
    <w:rsid w:val="0040632F"/>
    <w:rsid w:val="00406CD3"/>
    <w:rsid w:val="0041137A"/>
    <w:rsid w:val="00411B81"/>
    <w:rsid w:val="00415345"/>
    <w:rsid w:val="00421676"/>
    <w:rsid w:val="0043445F"/>
    <w:rsid w:val="00437931"/>
    <w:rsid w:val="00440659"/>
    <w:rsid w:val="004414FD"/>
    <w:rsid w:val="0044446A"/>
    <w:rsid w:val="004457B8"/>
    <w:rsid w:val="00452CA9"/>
    <w:rsid w:val="0045430A"/>
    <w:rsid w:val="00461E1A"/>
    <w:rsid w:val="00463DCE"/>
    <w:rsid w:val="004712FB"/>
    <w:rsid w:val="004717E7"/>
    <w:rsid w:val="004749BC"/>
    <w:rsid w:val="004779F5"/>
    <w:rsid w:val="00480A03"/>
    <w:rsid w:val="004846E5"/>
    <w:rsid w:val="00485041"/>
    <w:rsid w:val="00487FC1"/>
    <w:rsid w:val="004924BA"/>
    <w:rsid w:val="0049334E"/>
    <w:rsid w:val="00493E23"/>
    <w:rsid w:val="004953FC"/>
    <w:rsid w:val="004A2620"/>
    <w:rsid w:val="004A4649"/>
    <w:rsid w:val="004A5173"/>
    <w:rsid w:val="004B00AE"/>
    <w:rsid w:val="004B0F9D"/>
    <w:rsid w:val="004B1D72"/>
    <w:rsid w:val="004B27B3"/>
    <w:rsid w:val="004B3238"/>
    <w:rsid w:val="004B7021"/>
    <w:rsid w:val="004B7339"/>
    <w:rsid w:val="004C01C0"/>
    <w:rsid w:val="004C0A73"/>
    <w:rsid w:val="004C1C16"/>
    <w:rsid w:val="004C458B"/>
    <w:rsid w:val="004E09B0"/>
    <w:rsid w:val="004E15E7"/>
    <w:rsid w:val="004E6EE6"/>
    <w:rsid w:val="004E70B9"/>
    <w:rsid w:val="004F0A9C"/>
    <w:rsid w:val="004F1D6C"/>
    <w:rsid w:val="0050542E"/>
    <w:rsid w:val="0051038E"/>
    <w:rsid w:val="00512ED6"/>
    <w:rsid w:val="0052284D"/>
    <w:rsid w:val="0052347A"/>
    <w:rsid w:val="00525FBC"/>
    <w:rsid w:val="005407A6"/>
    <w:rsid w:val="00540D18"/>
    <w:rsid w:val="00540FD9"/>
    <w:rsid w:val="0054177B"/>
    <w:rsid w:val="00542453"/>
    <w:rsid w:val="00553586"/>
    <w:rsid w:val="00554520"/>
    <w:rsid w:val="005567C4"/>
    <w:rsid w:val="00560A74"/>
    <w:rsid w:val="00567E2C"/>
    <w:rsid w:val="00570E99"/>
    <w:rsid w:val="005714BF"/>
    <w:rsid w:val="0057239F"/>
    <w:rsid w:val="0058152C"/>
    <w:rsid w:val="0058260E"/>
    <w:rsid w:val="0058371E"/>
    <w:rsid w:val="005848BD"/>
    <w:rsid w:val="00587D74"/>
    <w:rsid w:val="00591F0A"/>
    <w:rsid w:val="005B04BF"/>
    <w:rsid w:val="005B092A"/>
    <w:rsid w:val="005B1C4D"/>
    <w:rsid w:val="005B6716"/>
    <w:rsid w:val="005C14FA"/>
    <w:rsid w:val="005C2CEF"/>
    <w:rsid w:val="005C70E3"/>
    <w:rsid w:val="005D1BBF"/>
    <w:rsid w:val="005D1F0E"/>
    <w:rsid w:val="005E15F9"/>
    <w:rsid w:val="005E7B80"/>
    <w:rsid w:val="005F2EF0"/>
    <w:rsid w:val="005F57F7"/>
    <w:rsid w:val="005F5B86"/>
    <w:rsid w:val="00600BCE"/>
    <w:rsid w:val="00603E3E"/>
    <w:rsid w:val="0061079F"/>
    <w:rsid w:val="00611FD9"/>
    <w:rsid w:val="00613A39"/>
    <w:rsid w:val="00614B1B"/>
    <w:rsid w:val="00617336"/>
    <w:rsid w:val="006237E8"/>
    <w:rsid w:val="006242AC"/>
    <w:rsid w:val="00626281"/>
    <w:rsid w:val="006271B4"/>
    <w:rsid w:val="0063027D"/>
    <w:rsid w:val="006327DA"/>
    <w:rsid w:val="006333C2"/>
    <w:rsid w:val="00634545"/>
    <w:rsid w:val="006437E2"/>
    <w:rsid w:val="00646895"/>
    <w:rsid w:val="00650409"/>
    <w:rsid w:val="00651368"/>
    <w:rsid w:val="0065197A"/>
    <w:rsid w:val="006528BC"/>
    <w:rsid w:val="006554CB"/>
    <w:rsid w:val="00661F88"/>
    <w:rsid w:val="00662831"/>
    <w:rsid w:val="00663A11"/>
    <w:rsid w:val="006651CD"/>
    <w:rsid w:val="00666472"/>
    <w:rsid w:val="00667E9E"/>
    <w:rsid w:val="0067643D"/>
    <w:rsid w:val="00682361"/>
    <w:rsid w:val="006835FF"/>
    <w:rsid w:val="006915B1"/>
    <w:rsid w:val="00693092"/>
    <w:rsid w:val="00693A3E"/>
    <w:rsid w:val="006941D2"/>
    <w:rsid w:val="0069460F"/>
    <w:rsid w:val="00697A8D"/>
    <w:rsid w:val="006A0312"/>
    <w:rsid w:val="006A07DD"/>
    <w:rsid w:val="006A3603"/>
    <w:rsid w:val="006B1C5B"/>
    <w:rsid w:val="006B34AD"/>
    <w:rsid w:val="006B7724"/>
    <w:rsid w:val="006D24AD"/>
    <w:rsid w:val="006D6589"/>
    <w:rsid w:val="006E1EA0"/>
    <w:rsid w:val="006F0841"/>
    <w:rsid w:val="006F2B33"/>
    <w:rsid w:val="006F3F24"/>
    <w:rsid w:val="00704000"/>
    <w:rsid w:val="00706330"/>
    <w:rsid w:val="00714BE6"/>
    <w:rsid w:val="007203CF"/>
    <w:rsid w:val="007219C4"/>
    <w:rsid w:val="00723688"/>
    <w:rsid w:val="007257A1"/>
    <w:rsid w:val="0072698A"/>
    <w:rsid w:val="00730901"/>
    <w:rsid w:val="00744C5D"/>
    <w:rsid w:val="00750510"/>
    <w:rsid w:val="007549B0"/>
    <w:rsid w:val="00760CB4"/>
    <w:rsid w:val="00761E38"/>
    <w:rsid w:val="00763A24"/>
    <w:rsid w:val="0076407C"/>
    <w:rsid w:val="007653FB"/>
    <w:rsid w:val="0076608B"/>
    <w:rsid w:val="0077003D"/>
    <w:rsid w:val="007701CB"/>
    <w:rsid w:val="00773F9F"/>
    <w:rsid w:val="00774339"/>
    <w:rsid w:val="00775DD6"/>
    <w:rsid w:val="00776FFD"/>
    <w:rsid w:val="007803C4"/>
    <w:rsid w:val="0078220F"/>
    <w:rsid w:val="007850B6"/>
    <w:rsid w:val="00785E77"/>
    <w:rsid w:val="00787129"/>
    <w:rsid w:val="007910C7"/>
    <w:rsid w:val="007931E3"/>
    <w:rsid w:val="007948B0"/>
    <w:rsid w:val="00795EE5"/>
    <w:rsid w:val="007A1831"/>
    <w:rsid w:val="007A5BD0"/>
    <w:rsid w:val="007B3C8E"/>
    <w:rsid w:val="007B7247"/>
    <w:rsid w:val="007C7629"/>
    <w:rsid w:val="007D5D42"/>
    <w:rsid w:val="007E1001"/>
    <w:rsid w:val="007E7E72"/>
    <w:rsid w:val="007F0BDF"/>
    <w:rsid w:val="007F12B7"/>
    <w:rsid w:val="007F1DAE"/>
    <w:rsid w:val="007F6130"/>
    <w:rsid w:val="007F7297"/>
    <w:rsid w:val="00810FF8"/>
    <w:rsid w:val="00816158"/>
    <w:rsid w:val="00817400"/>
    <w:rsid w:val="00817E8B"/>
    <w:rsid w:val="00817F41"/>
    <w:rsid w:val="00821295"/>
    <w:rsid w:val="008227F9"/>
    <w:rsid w:val="0082312D"/>
    <w:rsid w:val="008242F8"/>
    <w:rsid w:val="00842EC9"/>
    <w:rsid w:val="00846EA5"/>
    <w:rsid w:val="0085438C"/>
    <w:rsid w:val="008563F4"/>
    <w:rsid w:val="00860703"/>
    <w:rsid w:val="00860B6C"/>
    <w:rsid w:val="00865AF1"/>
    <w:rsid w:val="00866D77"/>
    <w:rsid w:val="008701A0"/>
    <w:rsid w:val="00870273"/>
    <w:rsid w:val="00872A76"/>
    <w:rsid w:val="00872C77"/>
    <w:rsid w:val="00875091"/>
    <w:rsid w:val="008756DC"/>
    <w:rsid w:val="0088113F"/>
    <w:rsid w:val="00885B6D"/>
    <w:rsid w:val="00891624"/>
    <w:rsid w:val="008926C5"/>
    <w:rsid w:val="008A0074"/>
    <w:rsid w:val="008A0AC2"/>
    <w:rsid w:val="008A256D"/>
    <w:rsid w:val="008A2C35"/>
    <w:rsid w:val="008A34C7"/>
    <w:rsid w:val="008B2479"/>
    <w:rsid w:val="008C1BA1"/>
    <w:rsid w:val="008C3696"/>
    <w:rsid w:val="008C52CC"/>
    <w:rsid w:val="008D0523"/>
    <w:rsid w:val="008D2A33"/>
    <w:rsid w:val="008D755B"/>
    <w:rsid w:val="008E3C1C"/>
    <w:rsid w:val="008F081C"/>
    <w:rsid w:val="008F1A8B"/>
    <w:rsid w:val="008F2BDE"/>
    <w:rsid w:val="008F5953"/>
    <w:rsid w:val="008F5D82"/>
    <w:rsid w:val="00903E9B"/>
    <w:rsid w:val="00904BFB"/>
    <w:rsid w:val="00905668"/>
    <w:rsid w:val="00913654"/>
    <w:rsid w:val="00914E4B"/>
    <w:rsid w:val="0092011B"/>
    <w:rsid w:val="00923A1B"/>
    <w:rsid w:val="00924EEB"/>
    <w:rsid w:val="00926113"/>
    <w:rsid w:val="00927919"/>
    <w:rsid w:val="009373F7"/>
    <w:rsid w:val="00941EBA"/>
    <w:rsid w:val="00947290"/>
    <w:rsid w:val="00952BB9"/>
    <w:rsid w:val="0095385D"/>
    <w:rsid w:val="00954441"/>
    <w:rsid w:val="00965B3B"/>
    <w:rsid w:val="00970B17"/>
    <w:rsid w:val="009737A9"/>
    <w:rsid w:val="00975A06"/>
    <w:rsid w:val="00976C3F"/>
    <w:rsid w:val="00977DD8"/>
    <w:rsid w:val="009950F6"/>
    <w:rsid w:val="009A1222"/>
    <w:rsid w:val="009A21C6"/>
    <w:rsid w:val="009A2D47"/>
    <w:rsid w:val="009A401D"/>
    <w:rsid w:val="009B2613"/>
    <w:rsid w:val="009B6C35"/>
    <w:rsid w:val="009C3170"/>
    <w:rsid w:val="009C3DC6"/>
    <w:rsid w:val="009D09FC"/>
    <w:rsid w:val="009D1638"/>
    <w:rsid w:val="009D6669"/>
    <w:rsid w:val="009E1C19"/>
    <w:rsid w:val="009E354C"/>
    <w:rsid w:val="009F079E"/>
    <w:rsid w:val="009F1788"/>
    <w:rsid w:val="009F1ADC"/>
    <w:rsid w:val="009F2FA1"/>
    <w:rsid w:val="009F569C"/>
    <w:rsid w:val="009F7F40"/>
    <w:rsid w:val="00A0278A"/>
    <w:rsid w:val="00A04891"/>
    <w:rsid w:val="00A0586E"/>
    <w:rsid w:val="00A06EBB"/>
    <w:rsid w:val="00A10E9F"/>
    <w:rsid w:val="00A11153"/>
    <w:rsid w:val="00A15121"/>
    <w:rsid w:val="00A200B4"/>
    <w:rsid w:val="00A21658"/>
    <w:rsid w:val="00A34793"/>
    <w:rsid w:val="00A36F82"/>
    <w:rsid w:val="00A4706B"/>
    <w:rsid w:val="00A50F24"/>
    <w:rsid w:val="00A55244"/>
    <w:rsid w:val="00A566A3"/>
    <w:rsid w:val="00A60701"/>
    <w:rsid w:val="00A60FDD"/>
    <w:rsid w:val="00A61E36"/>
    <w:rsid w:val="00A629BF"/>
    <w:rsid w:val="00A716D1"/>
    <w:rsid w:val="00A71A56"/>
    <w:rsid w:val="00A828A8"/>
    <w:rsid w:val="00A90D14"/>
    <w:rsid w:val="00A90D9B"/>
    <w:rsid w:val="00A952B4"/>
    <w:rsid w:val="00AB2445"/>
    <w:rsid w:val="00AB726E"/>
    <w:rsid w:val="00AC0455"/>
    <w:rsid w:val="00AD6311"/>
    <w:rsid w:val="00AD785C"/>
    <w:rsid w:val="00AE3592"/>
    <w:rsid w:val="00AF0A3E"/>
    <w:rsid w:val="00AF4F00"/>
    <w:rsid w:val="00B01141"/>
    <w:rsid w:val="00B02028"/>
    <w:rsid w:val="00B038BC"/>
    <w:rsid w:val="00B05F20"/>
    <w:rsid w:val="00B06D20"/>
    <w:rsid w:val="00B10187"/>
    <w:rsid w:val="00B1072C"/>
    <w:rsid w:val="00B10C94"/>
    <w:rsid w:val="00B130B7"/>
    <w:rsid w:val="00B207AC"/>
    <w:rsid w:val="00B23C04"/>
    <w:rsid w:val="00B2404A"/>
    <w:rsid w:val="00B24CC6"/>
    <w:rsid w:val="00B3074D"/>
    <w:rsid w:val="00B34F6F"/>
    <w:rsid w:val="00B363D1"/>
    <w:rsid w:val="00B36BB0"/>
    <w:rsid w:val="00B45986"/>
    <w:rsid w:val="00B45B47"/>
    <w:rsid w:val="00B50187"/>
    <w:rsid w:val="00B52462"/>
    <w:rsid w:val="00B556A2"/>
    <w:rsid w:val="00B56A8A"/>
    <w:rsid w:val="00B5702A"/>
    <w:rsid w:val="00B637DC"/>
    <w:rsid w:val="00B64481"/>
    <w:rsid w:val="00B66C25"/>
    <w:rsid w:val="00B67DB1"/>
    <w:rsid w:val="00B747B2"/>
    <w:rsid w:val="00B74E6E"/>
    <w:rsid w:val="00B83306"/>
    <w:rsid w:val="00B94EE1"/>
    <w:rsid w:val="00B962E3"/>
    <w:rsid w:val="00BA3EFE"/>
    <w:rsid w:val="00BA6628"/>
    <w:rsid w:val="00BA721B"/>
    <w:rsid w:val="00BB174A"/>
    <w:rsid w:val="00BB39EC"/>
    <w:rsid w:val="00BB4676"/>
    <w:rsid w:val="00BB6170"/>
    <w:rsid w:val="00BC02A2"/>
    <w:rsid w:val="00BC18B9"/>
    <w:rsid w:val="00BC343F"/>
    <w:rsid w:val="00BC3C7C"/>
    <w:rsid w:val="00BC59F9"/>
    <w:rsid w:val="00BD5C8E"/>
    <w:rsid w:val="00BE1DB5"/>
    <w:rsid w:val="00BE2BF6"/>
    <w:rsid w:val="00BE2DEE"/>
    <w:rsid w:val="00BE5171"/>
    <w:rsid w:val="00BE64C1"/>
    <w:rsid w:val="00BE68CC"/>
    <w:rsid w:val="00BF774C"/>
    <w:rsid w:val="00C00F29"/>
    <w:rsid w:val="00C060FF"/>
    <w:rsid w:val="00C078C6"/>
    <w:rsid w:val="00C07BCF"/>
    <w:rsid w:val="00C12028"/>
    <w:rsid w:val="00C1296A"/>
    <w:rsid w:val="00C147D5"/>
    <w:rsid w:val="00C15788"/>
    <w:rsid w:val="00C16602"/>
    <w:rsid w:val="00C22494"/>
    <w:rsid w:val="00C22A4E"/>
    <w:rsid w:val="00C23747"/>
    <w:rsid w:val="00C245EC"/>
    <w:rsid w:val="00C31678"/>
    <w:rsid w:val="00C32C09"/>
    <w:rsid w:val="00C32FE3"/>
    <w:rsid w:val="00C33D4D"/>
    <w:rsid w:val="00C33DFD"/>
    <w:rsid w:val="00C34A83"/>
    <w:rsid w:val="00C35566"/>
    <w:rsid w:val="00C35B8C"/>
    <w:rsid w:val="00C36693"/>
    <w:rsid w:val="00C422E2"/>
    <w:rsid w:val="00C47224"/>
    <w:rsid w:val="00C50559"/>
    <w:rsid w:val="00C53BCC"/>
    <w:rsid w:val="00C70630"/>
    <w:rsid w:val="00C74778"/>
    <w:rsid w:val="00C75B4A"/>
    <w:rsid w:val="00C81BD2"/>
    <w:rsid w:val="00C82E8F"/>
    <w:rsid w:val="00C83A33"/>
    <w:rsid w:val="00C84C85"/>
    <w:rsid w:val="00C8726B"/>
    <w:rsid w:val="00C9063E"/>
    <w:rsid w:val="00C919CD"/>
    <w:rsid w:val="00C9264E"/>
    <w:rsid w:val="00C950D4"/>
    <w:rsid w:val="00C9578B"/>
    <w:rsid w:val="00CA2B75"/>
    <w:rsid w:val="00CA3BFC"/>
    <w:rsid w:val="00CA46C9"/>
    <w:rsid w:val="00CA4F40"/>
    <w:rsid w:val="00CB23F4"/>
    <w:rsid w:val="00CB3F5B"/>
    <w:rsid w:val="00CB4A35"/>
    <w:rsid w:val="00CC00B7"/>
    <w:rsid w:val="00CC2122"/>
    <w:rsid w:val="00CC23EF"/>
    <w:rsid w:val="00CC35D3"/>
    <w:rsid w:val="00CC7272"/>
    <w:rsid w:val="00CD0F22"/>
    <w:rsid w:val="00CD27EB"/>
    <w:rsid w:val="00CD5B6D"/>
    <w:rsid w:val="00CE06F0"/>
    <w:rsid w:val="00CE367D"/>
    <w:rsid w:val="00CF21FA"/>
    <w:rsid w:val="00CF39BC"/>
    <w:rsid w:val="00CF3BA6"/>
    <w:rsid w:val="00CF5303"/>
    <w:rsid w:val="00D01510"/>
    <w:rsid w:val="00D05C1D"/>
    <w:rsid w:val="00D06F24"/>
    <w:rsid w:val="00D077C0"/>
    <w:rsid w:val="00D11666"/>
    <w:rsid w:val="00D1534A"/>
    <w:rsid w:val="00D209B6"/>
    <w:rsid w:val="00D2586C"/>
    <w:rsid w:val="00D32CC4"/>
    <w:rsid w:val="00D33B88"/>
    <w:rsid w:val="00D44892"/>
    <w:rsid w:val="00D45246"/>
    <w:rsid w:val="00D55F19"/>
    <w:rsid w:val="00D56855"/>
    <w:rsid w:val="00D56B0A"/>
    <w:rsid w:val="00D56CD8"/>
    <w:rsid w:val="00D61009"/>
    <w:rsid w:val="00D617B5"/>
    <w:rsid w:val="00D62696"/>
    <w:rsid w:val="00D62F82"/>
    <w:rsid w:val="00D642FE"/>
    <w:rsid w:val="00D66E88"/>
    <w:rsid w:val="00D706B5"/>
    <w:rsid w:val="00D72681"/>
    <w:rsid w:val="00D7689D"/>
    <w:rsid w:val="00D76E65"/>
    <w:rsid w:val="00D775DA"/>
    <w:rsid w:val="00D817BC"/>
    <w:rsid w:val="00D8576B"/>
    <w:rsid w:val="00D85C7F"/>
    <w:rsid w:val="00D9087E"/>
    <w:rsid w:val="00D9199F"/>
    <w:rsid w:val="00D93B09"/>
    <w:rsid w:val="00D9520E"/>
    <w:rsid w:val="00D97322"/>
    <w:rsid w:val="00D97E26"/>
    <w:rsid w:val="00DA1376"/>
    <w:rsid w:val="00DA1B9A"/>
    <w:rsid w:val="00DA32FD"/>
    <w:rsid w:val="00DA393B"/>
    <w:rsid w:val="00DA3F8E"/>
    <w:rsid w:val="00DA5974"/>
    <w:rsid w:val="00DA6924"/>
    <w:rsid w:val="00DB660B"/>
    <w:rsid w:val="00DC0D93"/>
    <w:rsid w:val="00DC3635"/>
    <w:rsid w:val="00DC5EB4"/>
    <w:rsid w:val="00DC7C78"/>
    <w:rsid w:val="00DC7EEA"/>
    <w:rsid w:val="00DD25EB"/>
    <w:rsid w:val="00DD33C4"/>
    <w:rsid w:val="00DE5F01"/>
    <w:rsid w:val="00DE64B7"/>
    <w:rsid w:val="00DE7453"/>
    <w:rsid w:val="00DF1CD3"/>
    <w:rsid w:val="00DF2599"/>
    <w:rsid w:val="00E02921"/>
    <w:rsid w:val="00E071DC"/>
    <w:rsid w:val="00E130DB"/>
    <w:rsid w:val="00E222C7"/>
    <w:rsid w:val="00E25737"/>
    <w:rsid w:val="00E26479"/>
    <w:rsid w:val="00E34B1D"/>
    <w:rsid w:val="00E35DAE"/>
    <w:rsid w:val="00E47209"/>
    <w:rsid w:val="00E4733F"/>
    <w:rsid w:val="00E56BCB"/>
    <w:rsid w:val="00E5729E"/>
    <w:rsid w:val="00E57A3D"/>
    <w:rsid w:val="00E6043A"/>
    <w:rsid w:val="00E66CB6"/>
    <w:rsid w:val="00E6757B"/>
    <w:rsid w:val="00E675C9"/>
    <w:rsid w:val="00E717F7"/>
    <w:rsid w:val="00E7243E"/>
    <w:rsid w:val="00E76FED"/>
    <w:rsid w:val="00E84769"/>
    <w:rsid w:val="00E9209D"/>
    <w:rsid w:val="00E9323B"/>
    <w:rsid w:val="00E9336D"/>
    <w:rsid w:val="00E968CD"/>
    <w:rsid w:val="00EA1DF9"/>
    <w:rsid w:val="00EA3BCE"/>
    <w:rsid w:val="00EA4A0D"/>
    <w:rsid w:val="00EA5F1E"/>
    <w:rsid w:val="00EB1713"/>
    <w:rsid w:val="00EB4B6A"/>
    <w:rsid w:val="00EB55E6"/>
    <w:rsid w:val="00EB6555"/>
    <w:rsid w:val="00EC4522"/>
    <w:rsid w:val="00ED0730"/>
    <w:rsid w:val="00ED119C"/>
    <w:rsid w:val="00ED6D1E"/>
    <w:rsid w:val="00EE1352"/>
    <w:rsid w:val="00EF7878"/>
    <w:rsid w:val="00F01425"/>
    <w:rsid w:val="00F02180"/>
    <w:rsid w:val="00F033D7"/>
    <w:rsid w:val="00F04435"/>
    <w:rsid w:val="00F17539"/>
    <w:rsid w:val="00F2009D"/>
    <w:rsid w:val="00F2104D"/>
    <w:rsid w:val="00F255AE"/>
    <w:rsid w:val="00F2672A"/>
    <w:rsid w:val="00F31D09"/>
    <w:rsid w:val="00F35508"/>
    <w:rsid w:val="00F36263"/>
    <w:rsid w:val="00F36C95"/>
    <w:rsid w:val="00F371EA"/>
    <w:rsid w:val="00F409CF"/>
    <w:rsid w:val="00F41479"/>
    <w:rsid w:val="00F42438"/>
    <w:rsid w:val="00F533FB"/>
    <w:rsid w:val="00F54936"/>
    <w:rsid w:val="00F617E5"/>
    <w:rsid w:val="00F625D3"/>
    <w:rsid w:val="00F62C9F"/>
    <w:rsid w:val="00F71890"/>
    <w:rsid w:val="00F7709C"/>
    <w:rsid w:val="00F92A9E"/>
    <w:rsid w:val="00F92E57"/>
    <w:rsid w:val="00F93481"/>
    <w:rsid w:val="00F96326"/>
    <w:rsid w:val="00FA2525"/>
    <w:rsid w:val="00FA253A"/>
    <w:rsid w:val="00FA5727"/>
    <w:rsid w:val="00FA6564"/>
    <w:rsid w:val="00FA65B8"/>
    <w:rsid w:val="00FA7312"/>
    <w:rsid w:val="00FB0B5C"/>
    <w:rsid w:val="00FB3A14"/>
    <w:rsid w:val="00FB3F17"/>
    <w:rsid w:val="00FC087C"/>
    <w:rsid w:val="00FC135D"/>
    <w:rsid w:val="00FC3173"/>
    <w:rsid w:val="00FC5177"/>
    <w:rsid w:val="00FC75D1"/>
    <w:rsid w:val="00FC7871"/>
    <w:rsid w:val="00FC7B84"/>
    <w:rsid w:val="00FD0208"/>
    <w:rsid w:val="00FD0CB7"/>
    <w:rsid w:val="00FD159D"/>
    <w:rsid w:val="00FD7359"/>
    <w:rsid w:val="00FE05C8"/>
    <w:rsid w:val="00FE21C8"/>
    <w:rsid w:val="00FE42EA"/>
    <w:rsid w:val="00FF1EFA"/>
    <w:rsid w:val="00FF3BAE"/>
    <w:rsid w:val="00FF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uppressAutoHyphens w:val="0"/>
      <w:spacing w:before="240" w:after="60"/>
      <w:textAlignment w:val="auto"/>
      <w:outlineLvl w:val="0"/>
    </w:pPr>
    <w:rPr>
      <w:rFonts w:ascii="Arial" w:hAnsi="Arial"/>
      <w:b/>
      <w:bCs/>
      <w:kern w:val="3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6">
    <w:name w:val="WW_OutlineListStyle_16"/>
    <w:basedOn w:val="Sinlista"/>
    <w:pPr>
      <w:numPr>
        <w:numId w:val="1"/>
      </w:numPr>
    </w:pPr>
  </w:style>
  <w:style w:type="paragraph" w:styleId="Encabezado">
    <w:name w:val="header"/>
    <w:basedOn w:val="Normal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uiPriority w:val="99"/>
    <w:rPr>
      <w:lang w:val="es" w:eastAsia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uiPriority w:val="99"/>
    <w:rPr>
      <w:lang w:val="es" w:eastAsia="es-ES"/>
    </w:rPr>
  </w:style>
  <w:style w:type="character" w:styleId="Nmerodepgina">
    <w:name w:val="page number"/>
    <w:basedOn w:val="Fuentedeprrafopredeter"/>
  </w:style>
  <w:style w:type="paragraph" w:styleId="Prrafodelista">
    <w:name w:val="List Paragraph"/>
    <w:basedOn w:val="Normal"/>
    <w:uiPriority w:val="99"/>
    <w:qFormat/>
    <w:pPr>
      <w:ind w:left="720"/>
    </w:pPr>
    <w:rPr>
      <w:sz w:val="24"/>
      <w:szCs w:val="24"/>
      <w:lang w:val="es-ES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  <w:lang w:val="es" w:eastAsia="es-ES"/>
    </w:rPr>
  </w:style>
  <w:style w:type="character" w:customStyle="1" w:styleId="Ttulo1Car">
    <w:name w:val="Título 1 Car"/>
    <w:basedOn w:val="Fuentedeprrafopredeter"/>
    <w:rPr>
      <w:rFonts w:ascii="Arial" w:hAnsi="Arial"/>
      <w:b/>
      <w:bCs/>
      <w:kern w:val="3"/>
      <w:sz w:val="32"/>
      <w:szCs w:val="32"/>
      <w:lang w:eastAsia="es-ES"/>
    </w:rPr>
  </w:style>
  <w:style w:type="numbering" w:customStyle="1" w:styleId="WWOutlineListStyle15">
    <w:name w:val="WW_OutlineListStyle_15"/>
    <w:basedOn w:val="Sinlista"/>
    <w:pPr>
      <w:numPr>
        <w:numId w:val="2"/>
      </w:numPr>
    </w:pPr>
  </w:style>
  <w:style w:type="numbering" w:customStyle="1" w:styleId="WWOutlineListStyle14">
    <w:name w:val="WW_OutlineListStyle_14"/>
    <w:basedOn w:val="Sinlista"/>
    <w:pPr>
      <w:numPr>
        <w:numId w:val="3"/>
      </w:numPr>
    </w:pPr>
  </w:style>
  <w:style w:type="numbering" w:customStyle="1" w:styleId="WWOutlineListStyle13">
    <w:name w:val="WW_OutlineListStyle_13"/>
    <w:basedOn w:val="Sinlista"/>
    <w:pPr>
      <w:numPr>
        <w:numId w:val="4"/>
      </w:numPr>
    </w:pPr>
  </w:style>
  <w:style w:type="numbering" w:customStyle="1" w:styleId="WWOutlineListStyle12">
    <w:name w:val="WW_OutlineListStyle_12"/>
    <w:basedOn w:val="Sinlista"/>
    <w:pPr>
      <w:numPr>
        <w:numId w:val="5"/>
      </w:numPr>
    </w:pPr>
  </w:style>
  <w:style w:type="numbering" w:customStyle="1" w:styleId="WWOutlineListStyle11">
    <w:name w:val="WW_OutlineListStyle_11"/>
    <w:basedOn w:val="Sinlista"/>
    <w:pPr>
      <w:numPr>
        <w:numId w:val="6"/>
      </w:numPr>
    </w:pPr>
  </w:style>
  <w:style w:type="numbering" w:customStyle="1" w:styleId="WWOutlineListStyle10">
    <w:name w:val="WW_OutlineListStyle_10"/>
    <w:basedOn w:val="Sinlista"/>
    <w:pPr>
      <w:numPr>
        <w:numId w:val="7"/>
      </w:numPr>
    </w:pPr>
  </w:style>
  <w:style w:type="numbering" w:customStyle="1" w:styleId="WWOutlineListStyle9">
    <w:name w:val="WW_OutlineListStyle_9"/>
    <w:basedOn w:val="Sinlista"/>
    <w:pPr>
      <w:numPr>
        <w:numId w:val="8"/>
      </w:numPr>
    </w:pPr>
  </w:style>
  <w:style w:type="numbering" w:customStyle="1" w:styleId="WWOutlineListStyle8">
    <w:name w:val="WW_OutlineListStyle_8"/>
    <w:basedOn w:val="Sinlista"/>
    <w:pPr>
      <w:numPr>
        <w:numId w:val="9"/>
      </w:numPr>
    </w:pPr>
  </w:style>
  <w:style w:type="numbering" w:customStyle="1" w:styleId="WWOutlineListStyle7">
    <w:name w:val="WW_OutlineListStyle_7"/>
    <w:basedOn w:val="Sinlista"/>
    <w:pPr>
      <w:numPr>
        <w:numId w:val="10"/>
      </w:numPr>
    </w:pPr>
  </w:style>
  <w:style w:type="numbering" w:customStyle="1" w:styleId="WWOutlineListStyle6">
    <w:name w:val="WW_OutlineListStyle_6"/>
    <w:basedOn w:val="Sinlista"/>
    <w:pPr>
      <w:numPr>
        <w:numId w:val="11"/>
      </w:numPr>
    </w:pPr>
  </w:style>
  <w:style w:type="numbering" w:customStyle="1" w:styleId="WWOutlineListStyle5">
    <w:name w:val="WW_OutlineListStyle_5"/>
    <w:basedOn w:val="Sinlista"/>
    <w:pPr>
      <w:numPr>
        <w:numId w:val="12"/>
      </w:numPr>
    </w:pPr>
  </w:style>
  <w:style w:type="numbering" w:customStyle="1" w:styleId="WWOutlineListStyle4">
    <w:name w:val="WW_OutlineListStyle_4"/>
    <w:basedOn w:val="Sinlista"/>
    <w:pPr>
      <w:numPr>
        <w:numId w:val="13"/>
      </w:numPr>
    </w:pPr>
  </w:style>
  <w:style w:type="numbering" w:customStyle="1" w:styleId="WWOutlineListStyle3">
    <w:name w:val="WW_OutlineListStyle_3"/>
    <w:basedOn w:val="Sinlista"/>
    <w:pPr>
      <w:numPr>
        <w:numId w:val="14"/>
      </w:numPr>
    </w:pPr>
  </w:style>
  <w:style w:type="numbering" w:customStyle="1" w:styleId="WWOutlineListStyle2">
    <w:name w:val="WW_OutlineListStyle_2"/>
    <w:basedOn w:val="Sinlista"/>
    <w:pPr>
      <w:numPr>
        <w:numId w:val="15"/>
      </w:numPr>
    </w:pPr>
  </w:style>
  <w:style w:type="numbering" w:customStyle="1" w:styleId="WWOutlineListStyle1">
    <w:name w:val="WW_OutlineListStyle_1"/>
    <w:basedOn w:val="Sinlista"/>
    <w:pPr>
      <w:numPr>
        <w:numId w:val="16"/>
      </w:numPr>
    </w:pPr>
  </w:style>
  <w:style w:type="numbering" w:customStyle="1" w:styleId="WWOutlineListStyle">
    <w:name w:val="WW_OutlineListStyle"/>
    <w:basedOn w:val="Sinlista"/>
    <w:pPr>
      <w:numPr>
        <w:numId w:val="17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DD25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D25EB"/>
  </w:style>
  <w:style w:type="character" w:customStyle="1" w:styleId="TextocomentarioCar">
    <w:name w:val="Texto comentario Car"/>
    <w:basedOn w:val="Fuentedeprrafopredeter"/>
    <w:link w:val="Textocomentario"/>
    <w:uiPriority w:val="99"/>
    <w:rsid w:val="00DD25EB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D25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D25EB"/>
    <w:rPr>
      <w:b/>
      <w:bCs/>
      <w:lang w:eastAsia="es-ES"/>
    </w:rPr>
  </w:style>
  <w:style w:type="paragraph" w:styleId="Revisin">
    <w:name w:val="Revision"/>
    <w:hidden/>
    <w:uiPriority w:val="99"/>
    <w:semiHidden/>
    <w:rsid w:val="00CC00B7"/>
    <w:pPr>
      <w:autoSpaceDN/>
      <w:textAlignment w:val="auto"/>
    </w:pPr>
    <w:rPr>
      <w:lang w:eastAsia="es-ES"/>
    </w:rPr>
  </w:style>
  <w:style w:type="paragraph" w:customStyle="1" w:styleId="Titulo">
    <w:name w:val="Titulo"/>
    <w:basedOn w:val="Normal"/>
    <w:rsid w:val="00C1296A"/>
    <w:pPr>
      <w:numPr>
        <w:ilvl w:val="1"/>
        <w:numId w:val="18"/>
      </w:numPr>
      <w:suppressAutoHyphens w:val="0"/>
      <w:autoSpaceDN/>
      <w:textAlignment w:val="auto"/>
    </w:pPr>
    <w:rPr>
      <w:rFonts w:ascii="Arial" w:eastAsia="Calibri" w:hAnsi="Arial"/>
      <w:sz w:val="24"/>
      <w:szCs w:val="24"/>
      <w:lang w:val="es-ES"/>
    </w:rPr>
  </w:style>
  <w:style w:type="paragraph" w:styleId="Textonotapie">
    <w:name w:val="footnote text"/>
    <w:basedOn w:val="Normal"/>
    <w:link w:val="TextonotapieCar"/>
    <w:semiHidden/>
    <w:rsid w:val="00050AA3"/>
    <w:pPr>
      <w:suppressAutoHyphens w:val="0"/>
      <w:autoSpaceDN/>
      <w:textAlignment w:val="auto"/>
    </w:pPr>
    <w:rPr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050AA3"/>
    <w:rPr>
      <w:lang w:val="es-ES_tradnl" w:eastAsia="es-ES"/>
    </w:rPr>
  </w:style>
  <w:style w:type="character" w:styleId="Refdenotaalpie">
    <w:name w:val="footnote reference"/>
    <w:semiHidden/>
    <w:rsid w:val="00050AA3"/>
    <w:rPr>
      <w:vertAlign w:val="superscript"/>
    </w:rPr>
  </w:style>
  <w:style w:type="paragraph" w:styleId="Textoindependiente">
    <w:name w:val="Body Text"/>
    <w:basedOn w:val="Normal"/>
    <w:link w:val="TextoindependienteCar"/>
    <w:rsid w:val="00050AA3"/>
    <w:pPr>
      <w:suppressAutoHyphens w:val="0"/>
      <w:autoSpaceDN/>
      <w:spacing w:before="100" w:beforeAutospacing="1" w:after="100" w:afterAutospacing="1"/>
      <w:textAlignment w:val="auto"/>
    </w:pPr>
    <w:rPr>
      <w:rFonts w:eastAsia="Arial Unicode MS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050AA3"/>
    <w:rPr>
      <w:rFonts w:eastAsia="Arial Unicode MS"/>
      <w:sz w:val="24"/>
      <w:szCs w:val="24"/>
      <w:lang w:val="es-ES" w:eastAsia="es-ES"/>
    </w:rPr>
  </w:style>
  <w:style w:type="table" w:styleId="Tablaconcuadrcula">
    <w:name w:val="Table Grid"/>
    <w:basedOn w:val="Tablanormal"/>
    <w:rsid w:val="00050AA3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050AA3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050AA3"/>
    <w:pPr>
      <w:suppressAutoHyphens w:val="0"/>
      <w:autoSpaceDN/>
      <w:spacing w:after="120"/>
      <w:textAlignment w:val="auto"/>
    </w:pPr>
    <w:rPr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50AA3"/>
    <w:rPr>
      <w:sz w:val="16"/>
      <w:szCs w:val="16"/>
      <w:lang w:val="es-ES" w:eastAsia="es-ES"/>
    </w:rPr>
  </w:style>
  <w:style w:type="paragraph" w:styleId="Mapadeldocumento">
    <w:name w:val="Document Map"/>
    <w:basedOn w:val="Normal"/>
    <w:link w:val="MapadeldocumentoCar"/>
    <w:semiHidden/>
    <w:rsid w:val="00050AA3"/>
    <w:pPr>
      <w:shd w:val="clear" w:color="auto" w:fill="000080"/>
      <w:suppressAutoHyphens w:val="0"/>
      <w:autoSpaceDN/>
      <w:textAlignment w:val="auto"/>
    </w:pPr>
    <w:rPr>
      <w:rFonts w:ascii="Tahoma" w:hAnsi="Tahoma" w:cs="Tahoma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50AA3"/>
    <w:rPr>
      <w:rFonts w:ascii="Tahoma" w:hAnsi="Tahoma" w:cs="Tahoma"/>
      <w:shd w:val="clear" w:color="auto" w:fill="000080"/>
      <w:lang w:val="es-ES" w:eastAsia="es-ES"/>
    </w:rPr>
  </w:style>
  <w:style w:type="paragraph" w:styleId="NormalWeb">
    <w:name w:val="Normal (Web)"/>
    <w:basedOn w:val="Normal"/>
    <w:rsid w:val="00050AA3"/>
    <w:pPr>
      <w:suppressAutoHyphens w:val="0"/>
      <w:autoSpaceDN/>
      <w:spacing w:before="150" w:after="150"/>
      <w:ind w:left="675" w:right="525"/>
      <w:textAlignment w:val="auto"/>
    </w:pPr>
    <w:rPr>
      <w:sz w:val="19"/>
      <w:szCs w:val="19"/>
      <w:lang w:val="es-ES"/>
    </w:rPr>
  </w:style>
  <w:style w:type="paragraph" w:styleId="Textoindependiente2">
    <w:name w:val="Body Text 2"/>
    <w:basedOn w:val="Normal"/>
    <w:link w:val="Textoindependiente2Car"/>
    <w:rsid w:val="00050AA3"/>
    <w:pPr>
      <w:suppressAutoHyphens w:val="0"/>
      <w:autoSpaceDN/>
      <w:spacing w:after="120" w:line="480" w:lineRule="auto"/>
      <w:textAlignment w:val="auto"/>
    </w:pPr>
    <w:rPr>
      <w:sz w:val="24"/>
      <w:szCs w:val="24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50AA3"/>
    <w:rPr>
      <w:sz w:val="24"/>
      <w:szCs w:val="24"/>
      <w:lang w:val="es-ES" w:eastAsia="es-ES"/>
    </w:rPr>
  </w:style>
  <w:style w:type="character" w:styleId="Hipervnculovisitado">
    <w:name w:val="FollowedHyperlink"/>
    <w:rsid w:val="00050AA3"/>
    <w:rPr>
      <w:color w:val="800080"/>
      <w:u w:val="single"/>
    </w:rPr>
  </w:style>
  <w:style w:type="paragraph" w:customStyle="1" w:styleId="Listavistosa-nfasis11">
    <w:name w:val="Lista vistosa - Énfasis 11"/>
    <w:basedOn w:val="Normal"/>
    <w:uiPriority w:val="99"/>
    <w:qFormat/>
    <w:rsid w:val="00050AA3"/>
    <w:pPr>
      <w:suppressAutoHyphens w:val="0"/>
      <w:autoSpaceDN/>
      <w:ind w:left="720"/>
      <w:contextualSpacing/>
      <w:textAlignment w:val="auto"/>
    </w:pPr>
    <w:rPr>
      <w:sz w:val="24"/>
      <w:szCs w:val="24"/>
      <w:lang w:val="es-ES"/>
    </w:rPr>
  </w:style>
  <w:style w:type="character" w:customStyle="1" w:styleId="DeltaViewInsertion">
    <w:name w:val="DeltaView Insertion"/>
    <w:uiPriority w:val="99"/>
    <w:rsid w:val="00050AA3"/>
    <w:rPr>
      <w:color w:val="0000FF"/>
      <w:u w:val="double"/>
    </w:rPr>
  </w:style>
  <w:style w:type="character" w:customStyle="1" w:styleId="DeltaViewDeletion">
    <w:name w:val="DeltaView Deletion"/>
    <w:uiPriority w:val="99"/>
    <w:rsid w:val="00050AA3"/>
    <w:rPr>
      <w:strike/>
      <w:color w:val="FF0000"/>
    </w:rPr>
  </w:style>
  <w:style w:type="character" w:customStyle="1" w:styleId="DeltaViewMoveSource">
    <w:name w:val="DeltaView Move Source"/>
    <w:uiPriority w:val="99"/>
    <w:rsid w:val="00050AA3"/>
    <w:rPr>
      <w:strike/>
      <w:color w:val="00C000"/>
    </w:rPr>
  </w:style>
  <w:style w:type="character" w:customStyle="1" w:styleId="DeltaViewMoveDestination">
    <w:name w:val="DeltaView Move Destination"/>
    <w:uiPriority w:val="99"/>
    <w:rsid w:val="00050AA3"/>
    <w:rPr>
      <w:color w:val="00C000"/>
      <w:u w:val="double"/>
    </w:rPr>
  </w:style>
  <w:style w:type="paragraph" w:customStyle="1" w:styleId="Default">
    <w:name w:val="Default"/>
    <w:rsid w:val="00050AA3"/>
    <w:pPr>
      <w:autoSpaceDE w:val="0"/>
      <w:adjustRightInd w:val="0"/>
      <w:textAlignment w:val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rsid w:val="000B0C04"/>
    <w:rPr>
      <w:i/>
      <w:iCs/>
    </w:rPr>
  </w:style>
  <w:style w:type="paragraph" w:styleId="Textonotaalfinal">
    <w:name w:val="endnote text"/>
    <w:basedOn w:val="Normal"/>
    <w:link w:val="TextonotaalfinalCar"/>
    <w:uiPriority w:val="99"/>
    <w:unhideWhenUsed/>
    <w:rsid w:val="00B130B7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69460F"/>
    <w:rPr>
      <w:lang w:val="es" w:eastAsia="es-ES"/>
    </w:rPr>
  </w:style>
  <w:style w:type="character" w:styleId="Refdenotaalfinal">
    <w:name w:val="endnote reference"/>
    <w:basedOn w:val="Fuentedeprrafopredeter"/>
    <w:uiPriority w:val="99"/>
    <w:unhideWhenUsed/>
    <w:rsid w:val="00B130B7"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unhideWhenUsed/>
    <w:rsid w:val="00BC343F"/>
    <w:pPr>
      <w:suppressAutoHyphens w:val="0"/>
      <w:autoSpaceDN/>
      <w:textAlignment w:val="auto"/>
    </w:pPr>
    <w:rPr>
      <w:rFonts w:ascii="Calibri" w:eastAsiaTheme="minorHAnsi" w:hAnsi="Calibri"/>
      <w:sz w:val="22"/>
      <w:szCs w:val="22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C343F"/>
    <w:rPr>
      <w:rFonts w:ascii="Calibri" w:eastAsiaTheme="minorHAnsi" w:hAnsi="Calibri"/>
      <w:sz w:val="22"/>
      <w:szCs w:val="22"/>
      <w:lang w:val="es-ES" w:eastAsia="en-US"/>
    </w:rPr>
  </w:style>
  <w:style w:type="numbering" w:customStyle="1" w:styleId="Estilo1">
    <w:name w:val="Estilo1"/>
    <w:uiPriority w:val="99"/>
    <w:rsid w:val="007E1001"/>
    <w:pPr>
      <w:numPr>
        <w:numId w:val="23"/>
      </w:numPr>
    </w:pPr>
  </w:style>
  <w:style w:type="numbering" w:customStyle="1" w:styleId="Estilo2">
    <w:name w:val="Estilo2"/>
    <w:uiPriority w:val="99"/>
    <w:rsid w:val="007E1001"/>
    <w:pPr>
      <w:numPr>
        <w:numId w:val="26"/>
      </w:numPr>
    </w:pPr>
  </w:style>
  <w:style w:type="numbering" w:customStyle="1" w:styleId="Estilo3">
    <w:name w:val="Estilo3"/>
    <w:uiPriority w:val="99"/>
    <w:rsid w:val="007E1001"/>
    <w:pPr>
      <w:numPr>
        <w:numId w:val="29"/>
      </w:numPr>
    </w:pPr>
  </w:style>
  <w:style w:type="numbering" w:customStyle="1" w:styleId="Estilo4">
    <w:name w:val="Estilo4"/>
    <w:uiPriority w:val="99"/>
    <w:rsid w:val="007E1001"/>
    <w:pPr>
      <w:numPr>
        <w:numId w:val="3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uppressAutoHyphens w:val="0"/>
      <w:spacing w:before="240" w:after="60"/>
      <w:textAlignment w:val="auto"/>
      <w:outlineLvl w:val="0"/>
    </w:pPr>
    <w:rPr>
      <w:rFonts w:ascii="Arial" w:hAnsi="Arial"/>
      <w:b/>
      <w:bCs/>
      <w:kern w:val="3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6">
    <w:name w:val="WW_OutlineListStyle_16"/>
    <w:basedOn w:val="Sinlista"/>
    <w:pPr>
      <w:numPr>
        <w:numId w:val="1"/>
      </w:numPr>
    </w:pPr>
  </w:style>
  <w:style w:type="paragraph" w:styleId="Encabezado">
    <w:name w:val="header"/>
    <w:basedOn w:val="Normal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uiPriority w:val="99"/>
    <w:rPr>
      <w:lang w:val="es" w:eastAsia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uiPriority w:val="99"/>
    <w:rPr>
      <w:lang w:val="es" w:eastAsia="es-ES"/>
    </w:rPr>
  </w:style>
  <w:style w:type="character" w:styleId="Nmerodepgina">
    <w:name w:val="page number"/>
    <w:basedOn w:val="Fuentedeprrafopredeter"/>
  </w:style>
  <w:style w:type="paragraph" w:styleId="Prrafodelista">
    <w:name w:val="List Paragraph"/>
    <w:basedOn w:val="Normal"/>
    <w:uiPriority w:val="99"/>
    <w:qFormat/>
    <w:pPr>
      <w:ind w:left="720"/>
    </w:pPr>
    <w:rPr>
      <w:sz w:val="24"/>
      <w:szCs w:val="24"/>
      <w:lang w:val="es-ES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  <w:lang w:val="es" w:eastAsia="es-ES"/>
    </w:rPr>
  </w:style>
  <w:style w:type="character" w:customStyle="1" w:styleId="Ttulo1Car">
    <w:name w:val="Título 1 Car"/>
    <w:basedOn w:val="Fuentedeprrafopredeter"/>
    <w:rPr>
      <w:rFonts w:ascii="Arial" w:hAnsi="Arial"/>
      <w:b/>
      <w:bCs/>
      <w:kern w:val="3"/>
      <w:sz w:val="32"/>
      <w:szCs w:val="32"/>
      <w:lang w:eastAsia="es-ES"/>
    </w:rPr>
  </w:style>
  <w:style w:type="numbering" w:customStyle="1" w:styleId="WWOutlineListStyle15">
    <w:name w:val="WW_OutlineListStyle_15"/>
    <w:basedOn w:val="Sinlista"/>
    <w:pPr>
      <w:numPr>
        <w:numId w:val="2"/>
      </w:numPr>
    </w:pPr>
  </w:style>
  <w:style w:type="numbering" w:customStyle="1" w:styleId="WWOutlineListStyle14">
    <w:name w:val="WW_OutlineListStyle_14"/>
    <w:basedOn w:val="Sinlista"/>
    <w:pPr>
      <w:numPr>
        <w:numId w:val="3"/>
      </w:numPr>
    </w:pPr>
  </w:style>
  <w:style w:type="numbering" w:customStyle="1" w:styleId="WWOutlineListStyle13">
    <w:name w:val="WW_OutlineListStyle_13"/>
    <w:basedOn w:val="Sinlista"/>
    <w:pPr>
      <w:numPr>
        <w:numId w:val="4"/>
      </w:numPr>
    </w:pPr>
  </w:style>
  <w:style w:type="numbering" w:customStyle="1" w:styleId="WWOutlineListStyle12">
    <w:name w:val="WW_OutlineListStyle_12"/>
    <w:basedOn w:val="Sinlista"/>
    <w:pPr>
      <w:numPr>
        <w:numId w:val="5"/>
      </w:numPr>
    </w:pPr>
  </w:style>
  <w:style w:type="numbering" w:customStyle="1" w:styleId="WWOutlineListStyle11">
    <w:name w:val="WW_OutlineListStyle_11"/>
    <w:basedOn w:val="Sinlista"/>
    <w:pPr>
      <w:numPr>
        <w:numId w:val="6"/>
      </w:numPr>
    </w:pPr>
  </w:style>
  <w:style w:type="numbering" w:customStyle="1" w:styleId="WWOutlineListStyle10">
    <w:name w:val="WW_OutlineListStyle_10"/>
    <w:basedOn w:val="Sinlista"/>
    <w:pPr>
      <w:numPr>
        <w:numId w:val="7"/>
      </w:numPr>
    </w:pPr>
  </w:style>
  <w:style w:type="numbering" w:customStyle="1" w:styleId="WWOutlineListStyle9">
    <w:name w:val="WW_OutlineListStyle_9"/>
    <w:basedOn w:val="Sinlista"/>
    <w:pPr>
      <w:numPr>
        <w:numId w:val="8"/>
      </w:numPr>
    </w:pPr>
  </w:style>
  <w:style w:type="numbering" w:customStyle="1" w:styleId="WWOutlineListStyle8">
    <w:name w:val="WW_OutlineListStyle_8"/>
    <w:basedOn w:val="Sinlista"/>
    <w:pPr>
      <w:numPr>
        <w:numId w:val="9"/>
      </w:numPr>
    </w:pPr>
  </w:style>
  <w:style w:type="numbering" w:customStyle="1" w:styleId="WWOutlineListStyle7">
    <w:name w:val="WW_OutlineListStyle_7"/>
    <w:basedOn w:val="Sinlista"/>
    <w:pPr>
      <w:numPr>
        <w:numId w:val="10"/>
      </w:numPr>
    </w:pPr>
  </w:style>
  <w:style w:type="numbering" w:customStyle="1" w:styleId="WWOutlineListStyle6">
    <w:name w:val="WW_OutlineListStyle_6"/>
    <w:basedOn w:val="Sinlista"/>
    <w:pPr>
      <w:numPr>
        <w:numId w:val="11"/>
      </w:numPr>
    </w:pPr>
  </w:style>
  <w:style w:type="numbering" w:customStyle="1" w:styleId="WWOutlineListStyle5">
    <w:name w:val="WW_OutlineListStyle_5"/>
    <w:basedOn w:val="Sinlista"/>
    <w:pPr>
      <w:numPr>
        <w:numId w:val="12"/>
      </w:numPr>
    </w:pPr>
  </w:style>
  <w:style w:type="numbering" w:customStyle="1" w:styleId="WWOutlineListStyle4">
    <w:name w:val="WW_OutlineListStyle_4"/>
    <w:basedOn w:val="Sinlista"/>
    <w:pPr>
      <w:numPr>
        <w:numId w:val="13"/>
      </w:numPr>
    </w:pPr>
  </w:style>
  <w:style w:type="numbering" w:customStyle="1" w:styleId="WWOutlineListStyle3">
    <w:name w:val="WW_OutlineListStyle_3"/>
    <w:basedOn w:val="Sinlista"/>
    <w:pPr>
      <w:numPr>
        <w:numId w:val="14"/>
      </w:numPr>
    </w:pPr>
  </w:style>
  <w:style w:type="numbering" w:customStyle="1" w:styleId="WWOutlineListStyle2">
    <w:name w:val="WW_OutlineListStyle_2"/>
    <w:basedOn w:val="Sinlista"/>
    <w:pPr>
      <w:numPr>
        <w:numId w:val="15"/>
      </w:numPr>
    </w:pPr>
  </w:style>
  <w:style w:type="numbering" w:customStyle="1" w:styleId="WWOutlineListStyle1">
    <w:name w:val="WW_OutlineListStyle_1"/>
    <w:basedOn w:val="Sinlista"/>
    <w:pPr>
      <w:numPr>
        <w:numId w:val="16"/>
      </w:numPr>
    </w:pPr>
  </w:style>
  <w:style w:type="numbering" w:customStyle="1" w:styleId="WWOutlineListStyle">
    <w:name w:val="WW_OutlineListStyle"/>
    <w:basedOn w:val="Sinlista"/>
    <w:pPr>
      <w:numPr>
        <w:numId w:val="17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DD25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D25EB"/>
  </w:style>
  <w:style w:type="character" w:customStyle="1" w:styleId="TextocomentarioCar">
    <w:name w:val="Texto comentario Car"/>
    <w:basedOn w:val="Fuentedeprrafopredeter"/>
    <w:link w:val="Textocomentario"/>
    <w:uiPriority w:val="99"/>
    <w:rsid w:val="00DD25EB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D25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D25EB"/>
    <w:rPr>
      <w:b/>
      <w:bCs/>
      <w:lang w:eastAsia="es-ES"/>
    </w:rPr>
  </w:style>
  <w:style w:type="paragraph" w:styleId="Revisin">
    <w:name w:val="Revision"/>
    <w:hidden/>
    <w:uiPriority w:val="99"/>
    <w:semiHidden/>
    <w:rsid w:val="00CC00B7"/>
    <w:pPr>
      <w:autoSpaceDN/>
      <w:textAlignment w:val="auto"/>
    </w:pPr>
    <w:rPr>
      <w:lang w:eastAsia="es-ES"/>
    </w:rPr>
  </w:style>
  <w:style w:type="paragraph" w:customStyle="1" w:styleId="Titulo">
    <w:name w:val="Titulo"/>
    <w:basedOn w:val="Normal"/>
    <w:rsid w:val="00C1296A"/>
    <w:pPr>
      <w:numPr>
        <w:ilvl w:val="1"/>
        <w:numId w:val="18"/>
      </w:numPr>
      <w:suppressAutoHyphens w:val="0"/>
      <w:autoSpaceDN/>
      <w:textAlignment w:val="auto"/>
    </w:pPr>
    <w:rPr>
      <w:rFonts w:ascii="Arial" w:eastAsia="Calibri" w:hAnsi="Arial"/>
      <w:sz w:val="24"/>
      <w:szCs w:val="24"/>
      <w:lang w:val="es-ES"/>
    </w:rPr>
  </w:style>
  <w:style w:type="paragraph" w:styleId="Textonotapie">
    <w:name w:val="footnote text"/>
    <w:basedOn w:val="Normal"/>
    <w:link w:val="TextonotapieCar"/>
    <w:semiHidden/>
    <w:rsid w:val="00050AA3"/>
    <w:pPr>
      <w:suppressAutoHyphens w:val="0"/>
      <w:autoSpaceDN/>
      <w:textAlignment w:val="auto"/>
    </w:pPr>
    <w:rPr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050AA3"/>
    <w:rPr>
      <w:lang w:val="es-ES_tradnl" w:eastAsia="es-ES"/>
    </w:rPr>
  </w:style>
  <w:style w:type="character" w:styleId="Refdenotaalpie">
    <w:name w:val="footnote reference"/>
    <w:semiHidden/>
    <w:rsid w:val="00050AA3"/>
    <w:rPr>
      <w:vertAlign w:val="superscript"/>
    </w:rPr>
  </w:style>
  <w:style w:type="paragraph" w:styleId="Textoindependiente">
    <w:name w:val="Body Text"/>
    <w:basedOn w:val="Normal"/>
    <w:link w:val="TextoindependienteCar"/>
    <w:rsid w:val="00050AA3"/>
    <w:pPr>
      <w:suppressAutoHyphens w:val="0"/>
      <w:autoSpaceDN/>
      <w:spacing w:before="100" w:beforeAutospacing="1" w:after="100" w:afterAutospacing="1"/>
      <w:textAlignment w:val="auto"/>
    </w:pPr>
    <w:rPr>
      <w:rFonts w:eastAsia="Arial Unicode MS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050AA3"/>
    <w:rPr>
      <w:rFonts w:eastAsia="Arial Unicode MS"/>
      <w:sz w:val="24"/>
      <w:szCs w:val="24"/>
      <w:lang w:val="es-ES" w:eastAsia="es-ES"/>
    </w:rPr>
  </w:style>
  <w:style w:type="table" w:styleId="Tablaconcuadrcula">
    <w:name w:val="Table Grid"/>
    <w:basedOn w:val="Tablanormal"/>
    <w:rsid w:val="00050AA3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050AA3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050AA3"/>
    <w:pPr>
      <w:suppressAutoHyphens w:val="0"/>
      <w:autoSpaceDN/>
      <w:spacing w:after="120"/>
      <w:textAlignment w:val="auto"/>
    </w:pPr>
    <w:rPr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50AA3"/>
    <w:rPr>
      <w:sz w:val="16"/>
      <w:szCs w:val="16"/>
      <w:lang w:val="es-ES" w:eastAsia="es-ES"/>
    </w:rPr>
  </w:style>
  <w:style w:type="paragraph" w:styleId="Mapadeldocumento">
    <w:name w:val="Document Map"/>
    <w:basedOn w:val="Normal"/>
    <w:link w:val="MapadeldocumentoCar"/>
    <w:semiHidden/>
    <w:rsid w:val="00050AA3"/>
    <w:pPr>
      <w:shd w:val="clear" w:color="auto" w:fill="000080"/>
      <w:suppressAutoHyphens w:val="0"/>
      <w:autoSpaceDN/>
      <w:textAlignment w:val="auto"/>
    </w:pPr>
    <w:rPr>
      <w:rFonts w:ascii="Tahoma" w:hAnsi="Tahoma" w:cs="Tahoma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50AA3"/>
    <w:rPr>
      <w:rFonts w:ascii="Tahoma" w:hAnsi="Tahoma" w:cs="Tahoma"/>
      <w:shd w:val="clear" w:color="auto" w:fill="000080"/>
      <w:lang w:val="es-ES" w:eastAsia="es-ES"/>
    </w:rPr>
  </w:style>
  <w:style w:type="paragraph" w:styleId="NormalWeb">
    <w:name w:val="Normal (Web)"/>
    <w:basedOn w:val="Normal"/>
    <w:rsid w:val="00050AA3"/>
    <w:pPr>
      <w:suppressAutoHyphens w:val="0"/>
      <w:autoSpaceDN/>
      <w:spacing w:before="150" w:after="150"/>
      <w:ind w:left="675" w:right="525"/>
      <w:textAlignment w:val="auto"/>
    </w:pPr>
    <w:rPr>
      <w:sz w:val="19"/>
      <w:szCs w:val="19"/>
      <w:lang w:val="es-ES"/>
    </w:rPr>
  </w:style>
  <w:style w:type="paragraph" w:styleId="Textoindependiente2">
    <w:name w:val="Body Text 2"/>
    <w:basedOn w:val="Normal"/>
    <w:link w:val="Textoindependiente2Car"/>
    <w:rsid w:val="00050AA3"/>
    <w:pPr>
      <w:suppressAutoHyphens w:val="0"/>
      <w:autoSpaceDN/>
      <w:spacing w:after="120" w:line="480" w:lineRule="auto"/>
      <w:textAlignment w:val="auto"/>
    </w:pPr>
    <w:rPr>
      <w:sz w:val="24"/>
      <w:szCs w:val="24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50AA3"/>
    <w:rPr>
      <w:sz w:val="24"/>
      <w:szCs w:val="24"/>
      <w:lang w:val="es-ES" w:eastAsia="es-ES"/>
    </w:rPr>
  </w:style>
  <w:style w:type="character" w:styleId="Hipervnculovisitado">
    <w:name w:val="FollowedHyperlink"/>
    <w:rsid w:val="00050AA3"/>
    <w:rPr>
      <w:color w:val="800080"/>
      <w:u w:val="single"/>
    </w:rPr>
  </w:style>
  <w:style w:type="paragraph" w:customStyle="1" w:styleId="Listavistosa-nfasis11">
    <w:name w:val="Lista vistosa - Énfasis 11"/>
    <w:basedOn w:val="Normal"/>
    <w:uiPriority w:val="99"/>
    <w:qFormat/>
    <w:rsid w:val="00050AA3"/>
    <w:pPr>
      <w:suppressAutoHyphens w:val="0"/>
      <w:autoSpaceDN/>
      <w:ind w:left="720"/>
      <w:contextualSpacing/>
      <w:textAlignment w:val="auto"/>
    </w:pPr>
    <w:rPr>
      <w:sz w:val="24"/>
      <w:szCs w:val="24"/>
      <w:lang w:val="es-ES"/>
    </w:rPr>
  </w:style>
  <w:style w:type="character" w:customStyle="1" w:styleId="DeltaViewInsertion">
    <w:name w:val="DeltaView Insertion"/>
    <w:uiPriority w:val="99"/>
    <w:rsid w:val="00050AA3"/>
    <w:rPr>
      <w:color w:val="0000FF"/>
      <w:u w:val="double"/>
    </w:rPr>
  </w:style>
  <w:style w:type="character" w:customStyle="1" w:styleId="DeltaViewDeletion">
    <w:name w:val="DeltaView Deletion"/>
    <w:uiPriority w:val="99"/>
    <w:rsid w:val="00050AA3"/>
    <w:rPr>
      <w:strike/>
      <w:color w:val="FF0000"/>
    </w:rPr>
  </w:style>
  <w:style w:type="character" w:customStyle="1" w:styleId="DeltaViewMoveSource">
    <w:name w:val="DeltaView Move Source"/>
    <w:uiPriority w:val="99"/>
    <w:rsid w:val="00050AA3"/>
    <w:rPr>
      <w:strike/>
      <w:color w:val="00C000"/>
    </w:rPr>
  </w:style>
  <w:style w:type="character" w:customStyle="1" w:styleId="DeltaViewMoveDestination">
    <w:name w:val="DeltaView Move Destination"/>
    <w:uiPriority w:val="99"/>
    <w:rsid w:val="00050AA3"/>
    <w:rPr>
      <w:color w:val="00C000"/>
      <w:u w:val="double"/>
    </w:rPr>
  </w:style>
  <w:style w:type="paragraph" w:customStyle="1" w:styleId="Default">
    <w:name w:val="Default"/>
    <w:rsid w:val="00050AA3"/>
    <w:pPr>
      <w:autoSpaceDE w:val="0"/>
      <w:adjustRightInd w:val="0"/>
      <w:textAlignment w:val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rsid w:val="000B0C04"/>
    <w:rPr>
      <w:i/>
      <w:iCs/>
    </w:rPr>
  </w:style>
  <w:style w:type="paragraph" w:styleId="Textonotaalfinal">
    <w:name w:val="endnote text"/>
    <w:basedOn w:val="Normal"/>
    <w:link w:val="TextonotaalfinalCar"/>
    <w:uiPriority w:val="99"/>
    <w:unhideWhenUsed/>
    <w:rsid w:val="00B130B7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69460F"/>
    <w:rPr>
      <w:lang w:val="es" w:eastAsia="es-ES"/>
    </w:rPr>
  </w:style>
  <w:style w:type="character" w:styleId="Refdenotaalfinal">
    <w:name w:val="endnote reference"/>
    <w:basedOn w:val="Fuentedeprrafopredeter"/>
    <w:uiPriority w:val="99"/>
    <w:unhideWhenUsed/>
    <w:rsid w:val="00B130B7"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unhideWhenUsed/>
    <w:rsid w:val="00BC343F"/>
    <w:pPr>
      <w:suppressAutoHyphens w:val="0"/>
      <w:autoSpaceDN/>
      <w:textAlignment w:val="auto"/>
    </w:pPr>
    <w:rPr>
      <w:rFonts w:ascii="Calibri" w:eastAsiaTheme="minorHAnsi" w:hAnsi="Calibri"/>
      <w:sz w:val="22"/>
      <w:szCs w:val="22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C343F"/>
    <w:rPr>
      <w:rFonts w:ascii="Calibri" w:eastAsiaTheme="minorHAnsi" w:hAnsi="Calibri"/>
      <w:sz w:val="22"/>
      <w:szCs w:val="22"/>
      <w:lang w:val="es-ES" w:eastAsia="en-US"/>
    </w:rPr>
  </w:style>
  <w:style w:type="numbering" w:customStyle="1" w:styleId="Estilo1">
    <w:name w:val="Estilo1"/>
    <w:uiPriority w:val="99"/>
    <w:rsid w:val="007E1001"/>
    <w:pPr>
      <w:numPr>
        <w:numId w:val="23"/>
      </w:numPr>
    </w:pPr>
  </w:style>
  <w:style w:type="numbering" w:customStyle="1" w:styleId="Estilo2">
    <w:name w:val="Estilo2"/>
    <w:uiPriority w:val="99"/>
    <w:rsid w:val="007E1001"/>
    <w:pPr>
      <w:numPr>
        <w:numId w:val="26"/>
      </w:numPr>
    </w:pPr>
  </w:style>
  <w:style w:type="numbering" w:customStyle="1" w:styleId="Estilo3">
    <w:name w:val="Estilo3"/>
    <w:uiPriority w:val="99"/>
    <w:rsid w:val="007E1001"/>
    <w:pPr>
      <w:numPr>
        <w:numId w:val="29"/>
      </w:numPr>
    </w:pPr>
  </w:style>
  <w:style w:type="numbering" w:customStyle="1" w:styleId="Estilo4">
    <w:name w:val="Estilo4"/>
    <w:uiPriority w:val="99"/>
    <w:rsid w:val="007E1001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1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48916-C05D-40BC-9AFA-1B7EBA3D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Sebastian Canon Rubiano</dc:creator>
  <cp:lastModifiedBy>Superintendencia Financiera de Colombia</cp:lastModifiedBy>
  <cp:revision>5</cp:revision>
  <cp:lastPrinted>2014-08-25T15:56:00Z</cp:lastPrinted>
  <dcterms:created xsi:type="dcterms:W3CDTF">2014-09-09T19:48:00Z</dcterms:created>
  <dcterms:modified xsi:type="dcterms:W3CDTF">2014-09-17T19:58:00Z</dcterms:modified>
</cp:coreProperties>
</file>